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33BA2" w:rsidRPr="00624700" w:rsidRDefault="00B33BA2" w:rsidP="00722243">
      <w:pPr>
        <w:jc w:val="right"/>
        <w:rPr>
          <w:sz w:val="22"/>
          <w:szCs w:val="22"/>
        </w:rPr>
      </w:pPr>
      <w:bookmarkStart w:id="0" w:name="_GoBack"/>
      <w:bookmarkEnd w:id="0"/>
      <w:r w:rsidRPr="00624700">
        <w:rPr>
          <w:sz w:val="22"/>
          <w:szCs w:val="22"/>
        </w:rPr>
        <w:t>Zał. nr 3</w:t>
      </w:r>
    </w:p>
    <w:p w:rsidR="00B33BA2" w:rsidRPr="00624700" w:rsidRDefault="00B33BA2" w:rsidP="00722243">
      <w:pPr>
        <w:autoSpaceDE w:val="0"/>
        <w:autoSpaceDN w:val="0"/>
        <w:adjustRightInd w:val="0"/>
        <w:spacing w:before="120"/>
        <w:outlineLvl w:val="0"/>
        <w:rPr>
          <w:rFonts w:eastAsia="MSTT31f16d5a04o204081S00"/>
          <w:sz w:val="22"/>
          <w:szCs w:val="22"/>
        </w:rPr>
      </w:pPr>
      <w:r w:rsidRPr="00624700">
        <w:rPr>
          <w:rFonts w:eastAsia="MSTT31f16d5a04o204081S00"/>
          <w:sz w:val="22"/>
          <w:szCs w:val="22"/>
        </w:rPr>
        <w:t>Nr RGI. 7013.2.2018</w:t>
      </w:r>
    </w:p>
    <w:p w:rsidR="00B33BA2" w:rsidRPr="00624700" w:rsidRDefault="00B33BA2" w:rsidP="00F23999">
      <w:pPr>
        <w:rPr>
          <w:sz w:val="22"/>
          <w:szCs w:val="22"/>
        </w:rPr>
      </w:pPr>
    </w:p>
    <w:p w:rsidR="00B33BA2" w:rsidRPr="00624700" w:rsidRDefault="00B33BA2" w:rsidP="00722243">
      <w:pPr>
        <w:jc w:val="center"/>
        <w:rPr>
          <w:b/>
          <w:color w:val="000000"/>
          <w:sz w:val="22"/>
          <w:szCs w:val="22"/>
        </w:rPr>
      </w:pPr>
    </w:p>
    <w:p w:rsidR="00B33BA2" w:rsidRPr="00624700" w:rsidRDefault="00B33BA2" w:rsidP="00722243">
      <w:pPr>
        <w:jc w:val="center"/>
        <w:rPr>
          <w:b/>
          <w:color w:val="000000"/>
          <w:sz w:val="22"/>
          <w:szCs w:val="22"/>
        </w:rPr>
      </w:pPr>
      <w:r w:rsidRPr="00624700">
        <w:rPr>
          <w:b/>
          <w:color w:val="000000"/>
          <w:sz w:val="22"/>
          <w:szCs w:val="22"/>
        </w:rPr>
        <w:t xml:space="preserve">WYTYCZNE  DO TECHNOLOGII WYKONANIA </w:t>
      </w:r>
    </w:p>
    <w:p w:rsidR="00B33BA2" w:rsidRPr="00624700" w:rsidRDefault="00B33BA2" w:rsidP="00722243">
      <w:pPr>
        <w:jc w:val="center"/>
        <w:rPr>
          <w:b/>
          <w:color w:val="000000"/>
          <w:sz w:val="22"/>
          <w:szCs w:val="22"/>
        </w:rPr>
      </w:pPr>
    </w:p>
    <w:p w:rsidR="00B33BA2" w:rsidRPr="00624700" w:rsidRDefault="00B33BA2" w:rsidP="00722243">
      <w:pPr>
        <w:jc w:val="center"/>
        <w:rPr>
          <w:color w:val="000000"/>
          <w:sz w:val="22"/>
          <w:szCs w:val="22"/>
        </w:rPr>
      </w:pPr>
      <w:r w:rsidRPr="00624700">
        <w:rPr>
          <w:b/>
          <w:color w:val="000000"/>
          <w:sz w:val="22"/>
          <w:szCs w:val="22"/>
        </w:rPr>
        <w:t>i OPIS WYMOGÓW DLA ROZWIĄZAŃ RÓWNOWŻNYCH</w:t>
      </w:r>
    </w:p>
    <w:p w:rsidR="00B33BA2" w:rsidRPr="00624700" w:rsidRDefault="00B33BA2" w:rsidP="00286F6E">
      <w:pPr>
        <w:jc w:val="both"/>
        <w:rPr>
          <w:sz w:val="22"/>
          <w:szCs w:val="22"/>
        </w:rPr>
      </w:pPr>
    </w:p>
    <w:p w:rsidR="00B33BA2" w:rsidRPr="00624700" w:rsidRDefault="00B33BA2" w:rsidP="00286F6E">
      <w:pPr>
        <w:pStyle w:val="Standard"/>
        <w:tabs>
          <w:tab w:val="left" w:pos="0"/>
        </w:tabs>
        <w:jc w:val="both"/>
        <w:rPr>
          <w:rFonts w:cs="Times New Roman"/>
          <w:b/>
          <w:bCs/>
          <w:iCs/>
          <w:sz w:val="22"/>
          <w:szCs w:val="22"/>
          <w:lang w:bidi="ar-SA"/>
        </w:rPr>
      </w:pPr>
    </w:p>
    <w:p w:rsidR="00B33BA2" w:rsidRPr="00624700" w:rsidRDefault="00B33BA2" w:rsidP="00286F6E">
      <w:pPr>
        <w:jc w:val="both"/>
        <w:rPr>
          <w:color w:val="000000"/>
          <w:sz w:val="22"/>
          <w:szCs w:val="22"/>
        </w:rPr>
      </w:pPr>
    </w:p>
    <w:p w:rsidR="00B33BA2" w:rsidRPr="00624700" w:rsidRDefault="00B33BA2" w:rsidP="00286F6E">
      <w:pPr>
        <w:jc w:val="both"/>
        <w:rPr>
          <w:color w:val="000000"/>
          <w:sz w:val="22"/>
          <w:szCs w:val="22"/>
        </w:rPr>
      </w:pPr>
      <w:r w:rsidRPr="00624700">
        <w:rPr>
          <w:b/>
          <w:color w:val="000000"/>
          <w:sz w:val="22"/>
          <w:szCs w:val="22"/>
        </w:rPr>
        <w:t>WYTYCZNE DLA WYKONAWCÓW ZADANIA:</w:t>
      </w:r>
    </w:p>
    <w:p w:rsidR="00B33BA2" w:rsidRPr="00624700" w:rsidRDefault="00B33BA2" w:rsidP="00E747E7">
      <w:pPr>
        <w:numPr>
          <w:ilvl w:val="0"/>
          <w:numId w:val="1"/>
        </w:numPr>
        <w:spacing w:before="120" w:after="120"/>
        <w:jc w:val="both"/>
        <w:rPr>
          <w:color w:val="000000"/>
          <w:sz w:val="22"/>
          <w:szCs w:val="22"/>
        </w:rPr>
      </w:pPr>
      <w:r w:rsidRPr="00624700">
        <w:rPr>
          <w:color w:val="000000"/>
          <w:sz w:val="22"/>
          <w:szCs w:val="22"/>
        </w:rPr>
        <w:t xml:space="preserve">Zaprojektowane urządzenia </w:t>
      </w:r>
      <w:r w:rsidRPr="00624700">
        <w:rPr>
          <w:b/>
          <w:color w:val="000000"/>
          <w:sz w:val="22"/>
          <w:szCs w:val="22"/>
        </w:rPr>
        <w:t>są rozwiązaniami przykładowymi</w:t>
      </w:r>
      <w:r w:rsidRPr="00624700">
        <w:rPr>
          <w:color w:val="000000"/>
          <w:sz w:val="22"/>
          <w:szCs w:val="22"/>
        </w:rPr>
        <w:t>. Wykonawca może zastosować urządzenia dowolnych producentów, pod warunkiem spełnienia wymogów wynikających z ich opisów w projekcie.</w:t>
      </w:r>
    </w:p>
    <w:p w:rsidR="00B33BA2" w:rsidRPr="00624700" w:rsidRDefault="00B33BA2" w:rsidP="00E747E7">
      <w:pPr>
        <w:numPr>
          <w:ilvl w:val="0"/>
          <w:numId w:val="1"/>
        </w:numPr>
        <w:spacing w:before="120" w:after="120"/>
        <w:jc w:val="both"/>
        <w:rPr>
          <w:color w:val="000000"/>
          <w:sz w:val="22"/>
          <w:szCs w:val="22"/>
        </w:rPr>
      </w:pPr>
      <w:r w:rsidRPr="00624700">
        <w:rPr>
          <w:color w:val="000000"/>
          <w:sz w:val="22"/>
          <w:szCs w:val="22"/>
        </w:rPr>
        <w:t xml:space="preserve">Wykonawca proponując urządzenia równoważne do zaprojektowanych winien dysponować  </w:t>
      </w:r>
      <w:r w:rsidRPr="00624700">
        <w:rPr>
          <w:b/>
          <w:color w:val="000000"/>
          <w:sz w:val="22"/>
          <w:szCs w:val="22"/>
        </w:rPr>
        <w:t>kartami technicznymi urządzeń</w:t>
      </w:r>
      <w:r w:rsidRPr="00624700">
        <w:rPr>
          <w:color w:val="000000"/>
          <w:sz w:val="22"/>
          <w:szCs w:val="22"/>
        </w:rPr>
        <w:t>. Karty techniczne zaproponowanych urządzeń winny zawierać: wizualizację produktu, parametry wielkościowe, materiałowe, technologiczne, zestawienie elementów oraz funkcjonalności poszczególnych urządzeń zabawowych. Karty mogą być dołączone do oferty. Wyłoniony wykonawca winien dostarczyć zamawiającemu karty techniczne urządzeń niezwłocznie po ogłoszeniu wyników postępowania (przed podpisaniem umowy).</w:t>
      </w:r>
    </w:p>
    <w:p w:rsidR="00B33BA2" w:rsidRPr="00624700" w:rsidRDefault="00B33BA2" w:rsidP="00E747E7">
      <w:pPr>
        <w:numPr>
          <w:ilvl w:val="0"/>
          <w:numId w:val="1"/>
        </w:numPr>
        <w:spacing w:before="120" w:after="120"/>
        <w:jc w:val="both"/>
        <w:rPr>
          <w:color w:val="000000"/>
          <w:sz w:val="22"/>
          <w:szCs w:val="22"/>
        </w:rPr>
      </w:pPr>
      <w:r w:rsidRPr="00624700">
        <w:rPr>
          <w:color w:val="000000"/>
          <w:sz w:val="22"/>
          <w:szCs w:val="22"/>
        </w:rPr>
        <w:t xml:space="preserve">Zaproponowane urządzenia winny posiadać </w:t>
      </w:r>
      <w:r w:rsidRPr="00624700">
        <w:rPr>
          <w:b/>
          <w:color w:val="000000"/>
          <w:sz w:val="22"/>
          <w:szCs w:val="22"/>
        </w:rPr>
        <w:t>aktualne certyfikaty</w:t>
      </w:r>
      <w:r w:rsidRPr="00624700">
        <w:rPr>
          <w:color w:val="000000"/>
          <w:sz w:val="22"/>
          <w:szCs w:val="22"/>
        </w:rPr>
        <w:t xml:space="preserve"> wydane przez </w:t>
      </w:r>
      <w:r w:rsidRPr="00624700">
        <w:rPr>
          <w:b/>
          <w:color w:val="000000"/>
          <w:sz w:val="22"/>
          <w:szCs w:val="22"/>
        </w:rPr>
        <w:t>akredytowaną</w:t>
      </w:r>
      <w:r w:rsidRPr="00624700">
        <w:rPr>
          <w:color w:val="000000"/>
          <w:sz w:val="22"/>
          <w:szCs w:val="22"/>
        </w:rPr>
        <w:t xml:space="preserve"> jednostkę certyfikującą na każde urządzenie zabawowe </w:t>
      </w:r>
      <w:r w:rsidRPr="00624700">
        <w:rPr>
          <w:b/>
          <w:color w:val="000000"/>
          <w:sz w:val="22"/>
          <w:szCs w:val="22"/>
        </w:rPr>
        <w:t>z osobna</w:t>
      </w:r>
      <w:r w:rsidRPr="00624700">
        <w:rPr>
          <w:color w:val="000000"/>
          <w:sz w:val="22"/>
          <w:szCs w:val="22"/>
        </w:rPr>
        <w:t>, potwierdzające zgodność tych urządzeń z normami.</w:t>
      </w:r>
      <w:r>
        <w:rPr>
          <w:color w:val="000000"/>
          <w:sz w:val="22"/>
          <w:szCs w:val="22"/>
        </w:rPr>
        <w:t xml:space="preserve"> Urządzenia powinny być przeznaczone do obiektów publicznych.</w:t>
      </w:r>
      <w:r w:rsidRPr="00624700">
        <w:rPr>
          <w:color w:val="000000"/>
          <w:sz w:val="22"/>
          <w:szCs w:val="22"/>
        </w:rPr>
        <w:t xml:space="preserve"> Można je </w:t>
      </w:r>
      <w:r w:rsidRPr="00624700">
        <w:rPr>
          <w:b/>
          <w:color w:val="000000"/>
          <w:sz w:val="22"/>
          <w:szCs w:val="22"/>
        </w:rPr>
        <w:t xml:space="preserve">dostarczyć razem z ofertą </w:t>
      </w:r>
      <w:r w:rsidRPr="00624700">
        <w:rPr>
          <w:color w:val="000000"/>
          <w:sz w:val="22"/>
          <w:szCs w:val="22"/>
        </w:rPr>
        <w:t xml:space="preserve">wraz z </w:t>
      </w:r>
      <w:r w:rsidRPr="00624700">
        <w:rPr>
          <w:b/>
          <w:color w:val="000000"/>
          <w:sz w:val="22"/>
          <w:szCs w:val="22"/>
        </w:rPr>
        <w:t xml:space="preserve">autoryzacją </w:t>
      </w:r>
      <w:r w:rsidRPr="00624700">
        <w:rPr>
          <w:color w:val="000000"/>
          <w:sz w:val="22"/>
          <w:szCs w:val="22"/>
        </w:rPr>
        <w:t>ich producenta. Wyłoniony wykonawca winien dostarczyć zamawiającemu te dokumenty niezwłocznie po ogłoszeniu wyników postępowania (przed podpisaniem umowy).</w:t>
      </w:r>
    </w:p>
    <w:p w:rsidR="00B33BA2" w:rsidRPr="00624700" w:rsidRDefault="00B33BA2" w:rsidP="00CC7896">
      <w:pPr>
        <w:numPr>
          <w:ilvl w:val="0"/>
          <w:numId w:val="1"/>
        </w:numPr>
        <w:spacing w:before="120" w:after="120"/>
        <w:jc w:val="both"/>
        <w:rPr>
          <w:color w:val="000000"/>
          <w:sz w:val="22"/>
          <w:szCs w:val="22"/>
        </w:rPr>
      </w:pPr>
      <w:r w:rsidRPr="00624700">
        <w:rPr>
          <w:sz w:val="22"/>
          <w:szCs w:val="22"/>
        </w:rPr>
        <w:t xml:space="preserve">Wymaga się </w:t>
      </w:r>
      <w:r w:rsidRPr="00624700">
        <w:rPr>
          <w:b/>
          <w:sz w:val="22"/>
          <w:szCs w:val="22"/>
        </w:rPr>
        <w:t>zachowania parametrów</w:t>
      </w:r>
      <w:r w:rsidRPr="00624700">
        <w:rPr>
          <w:sz w:val="22"/>
          <w:szCs w:val="22"/>
        </w:rPr>
        <w:t xml:space="preserve"> jakościowych, estetycznych, materiałowych, wielkościowych, kolorystycznych, technologicznych, zgodnych z elementami wskazanymi w projekcie, z zastrzeżeniami określającymi odpuszczalne różnice. Dopuszcza się mało istotne zmiany w urządzeniach</w:t>
      </w:r>
      <w:r w:rsidRPr="00624700">
        <w:rPr>
          <w:b/>
          <w:color w:val="000000"/>
          <w:sz w:val="22"/>
          <w:szCs w:val="22"/>
        </w:rPr>
        <w:t xml:space="preserve"> w </w:t>
      </w:r>
      <w:r w:rsidRPr="00624700">
        <w:rPr>
          <w:color w:val="000000"/>
          <w:sz w:val="22"/>
          <w:szCs w:val="22"/>
        </w:rPr>
        <w:t>stosunku do ujętych w projekcie kartach technicznych</w:t>
      </w:r>
      <w:r w:rsidRPr="00624700">
        <w:rPr>
          <w:sz w:val="22"/>
          <w:szCs w:val="22"/>
        </w:rPr>
        <w:t xml:space="preserve">, nie obniżające trwałości, waloru użytkowego czy estetycznego urządzeń, w szczególności w zakresie „trzeciorzędnych” elementów, co do uszczegółowienia wymagań było by dla zamawiającego niewspółmiernie uciążliwe w stosunku do zakresu/wartości zamówienia. </w:t>
      </w:r>
    </w:p>
    <w:p w:rsidR="00B33BA2" w:rsidRPr="00624700" w:rsidRDefault="00B33BA2" w:rsidP="00CC7896">
      <w:pPr>
        <w:numPr>
          <w:ilvl w:val="0"/>
          <w:numId w:val="1"/>
        </w:numPr>
        <w:spacing w:before="120" w:after="120"/>
        <w:jc w:val="both"/>
        <w:rPr>
          <w:color w:val="000000"/>
          <w:sz w:val="22"/>
          <w:szCs w:val="22"/>
        </w:rPr>
      </w:pPr>
      <w:r w:rsidRPr="00624700">
        <w:rPr>
          <w:sz w:val="22"/>
          <w:szCs w:val="22"/>
        </w:rPr>
        <w:t>Dostarczane wyroby powinny być wykonane z materiałów odpornych na korozję lub odpowiednio przed nią zabezpieczone.</w:t>
      </w:r>
    </w:p>
    <w:p w:rsidR="00B33BA2" w:rsidRPr="00624700" w:rsidRDefault="00B33BA2" w:rsidP="005D5CFE">
      <w:pPr>
        <w:widowControl/>
        <w:autoSpaceDE w:val="0"/>
        <w:autoSpaceDN w:val="0"/>
        <w:adjustRightInd w:val="0"/>
        <w:rPr>
          <w:sz w:val="22"/>
          <w:szCs w:val="22"/>
        </w:rPr>
      </w:pPr>
    </w:p>
    <w:p w:rsidR="00B33BA2" w:rsidRPr="00624700" w:rsidRDefault="00B33BA2" w:rsidP="005D5CFE">
      <w:pPr>
        <w:widowControl/>
        <w:autoSpaceDE w:val="0"/>
        <w:autoSpaceDN w:val="0"/>
        <w:adjustRightInd w:val="0"/>
        <w:rPr>
          <w:sz w:val="22"/>
          <w:szCs w:val="22"/>
        </w:rPr>
      </w:pPr>
      <w:r>
        <w:rPr>
          <w:sz w:val="22"/>
          <w:szCs w:val="22"/>
        </w:rPr>
        <w:t>6</w:t>
      </w:r>
      <w:r w:rsidRPr="00624700">
        <w:rPr>
          <w:sz w:val="22"/>
          <w:szCs w:val="22"/>
        </w:rPr>
        <w:t>. Dodatkowe wymagania dotyczące siłowni zewnętrznej:</w:t>
      </w:r>
    </w:p>
    <w:p w:rsidR="00B33BA2" w:rsidRPr="00624700" w:rsidRDefault="00B33BA2" w:rsidP="005D5CFE">
      <w:pPr>
        <w:widowControl/>
        <w:autoSpaceDE w:val="0"/>
        <w:autoSpaceDN w:val="0"/>
        <w:adjustRightInd w:val="0"/>
        <w:rPr>
          <w:sz w:val="22"/>
          <w:szCs w:val="22"/>
        </w:rPr>
      </w:pPr>
    </w:p>
    <w:p w:rsidR="00B33BA2" w:rsidRPr="00624700" w:rsidRDefault="00B33BA2" w:rsidP="0057068C">
      <w:pPr>
        <w:widowControl/>
        <w:numPr>
          <w:ilvl w:val="0"/>
          <w:numId w:val="9"/>
        </w:numPr>
        <w:autoSpaceDE w:val="0"/>
        <w:autoSpaceDN w:val="0"/>
        <w:adjustRightInd w:val="0"/>
        <w:rPr>
          <w:sz w:val="22"/>
          <w:szCs w:val="22"/>
        </w:rPr>
      </w:pPr>
      <w:r w:rsidRPr="00624700">
        <w:rPr>
          <w:sz w:val="22"/>
          <w:szCs w:val="22"/>
        </w:rPr>
        <w:t>elementy konstrukcyjne urządzenia wykonane ze stali,</w:t>
      </w:r>
    </w:p>
    <w:p w:rsidR="00B33BA2" w:rsidRPr="00624700" w:rsidRDefault="00B33BA2" w:rsidP="0057068C">
      <w:pPr>
        <w:widowControl/>
        <w:numPr>
          <w:ilvl w:val="0"/>
          <w:numId w:val="9"/>
        </w:numPr>
        <w:autoSpaceDE w:val="0"/>
        <w:autoSpaceDN w:val="0"/>
        <w:adjustRightInd w:val="0"/>
        <w:rPr>
          <w:sz w:val="22"/>
          <w:szCs w:val="22"/>
        </w:rPr>
      </w:pPr>
      <w:r w:rsidRPr="00624700">
        <w:rPr>
          <w:sz w:val="22"/>
          <w:szCs w:val="22"/>
        </w:rPr>
        <w:t>elementy metalowe zabezpieczone  antykorozyjnie poprzez kataforezę (poza elementami typu śruby, nakrętki itp.,</w:t>
      </w:r>
    </w:p>
    <w:p w:rsidR="00B33BA2" w:rsidRPr="00624700" w:rsidRDefault="00B33BA2" w:rsidP="0057068C">
      <w:pPr>
        <w:widowControl/>
        <w:numPr>
          <w:ilvl w:val="0"/>
          <w:numId w:val="9"/>
        </w:numPr>
        <w:autoSpaceDE w:val="0"/>
        <w:autoSpaceDN w:val="0"/>
        <w:adjustRightInd w:val="0"/>
        <w:rPr>
          <w:sz w:val="22"/>
          <w:szCs w:val="22"/>
        </w:rPr>
      </w:pPr>
      <w:r w:rsidRPr="00624700">
        <w:rPr>
          <w:sz w:val="22"/>
          <w:szCs w:val="22"/>
        </w:rPr>
        <w:t>elementy metalowe malowane proszkowo farbami poliestrowymi,</w:t>
      </w:r>
    </w:p>
    <w:p w:rsidR="00B33BA2" w:rsidRPr="00624700" w:rsidRDefault="00B33BA2" w:rsidP="0057068C">
      <w:pPr>
        <w:widowControl/>
        <w:numPr>
          <w:ilvl w:val="0"/>
          <w:numId w:val="9"/>
        </w:numPr>
        <w:autoSpaceDE w:val="0"/>
        <w:autoSpaceDN w:val="0"/>
        <w:adjustRightInd w:val="0"/>
        <w:rPr>
          <w:sz w:val="22"/>
          <w:szCs w:val="22"/>
        </w:rPr>
      </w:pPr>
      <w:r w:rsidRPr="00624700">
        <w:rPr>
          <w:sz w:val="22"/>
          <w:szCs w:val="22"/>
        </w:rPr>
        <w:t>połączenia ruchome wykonane przy użyciu łożysk krytych typu 2RS,</w:t>
      </w:r>
    </w:p>
    <w:p w:rsidR="00B33BA2" w:rsidRPr="00624700" w:rsidRDefault="00B33BA2" w:rsidP="0057068C">
      <w:pPr>
        <w:widowControl/>
        <w:numPr>
          <w:ilvl w:val="0"/>
          <w:numId w:val="9"/>
        </w:numPr>
        <w:autoSpaceDE w:val="0"/>
        <w:autoSpaceDN w:val="0"/>
        <w:adjustRightInd w:val="0"/>
        <w:rPr>
          <w:sz w:val="22"/>
          <w:szCs w:val="22"/>
        </w:rPr>
      </w:pPr>
      <w:r w:rsidRPr="00624700">
        <w:rPr>
          <w:sz w:val="22"/>
          <w:szCs w:val="22"/>
        </w:rPr>
        <w:t xml:space="preserve">urządzenie mocowane na fundamentach żelbetonowych, </w:t>
      </w:r>
    </w:p>
    <w:p w:rsidR="00B33BA2" w:rsidRPr="00624700" w:rsidRDefault="00B33BA2" w:rsidP="0057068C">
      <w:pPr>
        <w:widowControl/>
        <w:numPr>
          <w:ilvl w:val="0"/>
          <w:numId w:val="9"/>
        </w:numPr>
        <w:autoSpaceDE w:val="0"/>
        <w:autoSpaceDN w:val="0"/>
        <w:adjustRightInd w:val="0"/>
        <w:rPr>
          <w:sz w:val="22"/>
          <w:szCs w:val="22"/>
        </w:rPr>
      </w:pPr>
      <w:r w:rsidRPr="00624700">
        <w:rPr>
          <w:sz w:val="22"/>
          <w:szCs w:val="22"/>
        </w:rPr>
        <w:t>urządzenia siłowni muszą spełniać wymogi bezpieczeństwa dla użytkowników powyżej 14 lat zawarte w PN-EN 16630: 2015,</w:t>
      </w:r>
    </w:p>
    <w:p w:rsidR="00B33BA2" w:rsidRPr="00624700" w:rsidRDefault="00B33BA2" w:rsidP="0057068C">
      <w:pPr>
        <w:widowControl/>
        <w:numPr>
          <w:ilvl w:val="0"/>
          <w:numId w:val="9"/>
        </w:numPr>
        <w:autoSpaceDE w:val="0"/>
        <w:autoSpaceDN w:val="0"/>
        <w:adjustRightInd w:val="0"/>
        <w:rPr>
          <w:sz w:val="22"/>
          <w:szCs w:val="22"/>
        </w:rPr>
      </w:pPr>
      <w:r w:rsidRPr="00624700">
        <w:rPr>
          <w:sz w:val="22"/>
          <w:szCs w:val="22"/>
        </w:rPr>
        <w:t xml:space="preserve">urządzenia wykonane dla obciążeń osób o wadze min </w:t>
      </w:r>
      <w:smartTag w:uri="urn:schemas-microsoft-com:office:smarttags" w:element="metricconverter">
        <w:smartTagPr>
          <w:attr w:name="ProductID" w:val="150 kg"/>
        </w:smartTagPr>
        <w:r w:rsidRPr="00624700">
          <w:rPr>
            <w:sz w:val="22"/>
            <w:szCs w:val="22"/>
          </w:rPr>
          <w:t>150 kg</w:t>
        </w:r>
      </w:smartTag>
      <w:r w:rsidRPr="00624700">
        <w:rPr>
          <w:sz w:val="22"/>
          <w:szCs w:val="22"/>
        </w:rPr>
        <w:t>,</w:t>
      </w:r>
    </w:p>
    <w:p w:rsidR="00B33BA2" w:rsidRPr="00624700" w:rsidRDefault="00B33BA2" w:rsidP="0057068C">
      <w:pPr>
        <w:widowControl/>
        <w:numPr>
          <w:ilvl w:val="0"/>
          <w:numId w:val="9"/>
        </w:numPr>
        <w:autoSpaceDE w:val="0"/>
        <w:autoSpaceDN w:val="0"/>
        <w:adjustRightInd w:val="0"/>
        <w:rPr>
          <w:sz w:val="22"/>
          <w:szCs w:val="22"/>
        </w:rPr>
      </w:pPr>
      <w:r w:rsidRPr="00624700">
        <w:rPr>
          <w:sz w:val="22"/>
          <w:szCs w:val="22"/>
        </w:rPr>
        <w:t>każde urządzenie powinno zawierać instrukcję obsługi słowną i obrazkową.</w:t>
      </w:r>
    </w:p>
    <w:p w:rsidR="00B33BA2" w:rsidRPr="00624700" w:rsidRDefault="00B33BA2" w:rsidP="005D5CFE">
      <w:pPr>
        <w:widowControl/>
        <w:autoSpaceDE w:val="0"/>
        <w:autoSpaceDN w:val="0"/>
        <w:adjustRightInd w:val="0"/>
        <w:rPr>
          <w:sz w:val="22"/>
          <w:szCs w:val="22"/>
        </w:rPr>
      </w:pPr>
    </w:p>
    <w:p w:rsidR="00B33BA2" w:rsidRPr="00624700" w:rsidRDefault="00B33BA2" w:rsidP="005D5CFE">
      <w:pPr>
        <w:widowControl/>
        <w:autoSpaceDE w:val="0"/>
        <w:autoSpaceDN w:val="0"/>
        <w:adjustRightInd w:val="0"/>
        <w:rPr>
          <w:b/>
          <w:bCs/>
          <w:sz w:val="22"/>
          <w:szCs w:val="22"/>
        </w:rPr>
      </w:pPr>
    </w:p>
    <w:p w:rsidR="00B33BA2" w:rsidRPr="00624700" w:rsidRDefault="00B33BA2" w:rsidP="00CC7896">
      <w:pPr>
        <w:widowControl/>
        <w:autoSpaceDE w:val="0"/>
        <w:autoSpaceDN w:val="0"/>
        <w:adjustRightInd w:val="0"/>
        <w:rPr>
          <w:sz w:val="22"/>
          <w:szCs w:val="22"/>
        </w:rPr>
      </w:pPr>
      <w:r>
        <w:rPr>
          <w:sz w:val="22"/>
          <w:szCs w:val="22"/>
        </w:rPr>
        <w:t>7</w:t>
      </w:r>
      <w:r w:rsidRPr="00624700">
        <w:rPr>
          <w:sz w:val="22"/>
          <w:szCs w:val="22"/>
        </w:rPr>
        <w:t>. Dodatkowe wymagania dotyczące strefy relaksu:</w:t>
      </w:r>
    </w:p>
    <w:p w:rsidR="00B33BA2" w:rsidRPr="00624700" w:rsidRDefault="00B33BA2" w:rsidP="00CC7896">
      <w:pPr>
        <w:widowControl/>
        <w:autoSpaceDE w:val="0"/>
        <w:autoSpaceDN w:val="0"/>
        <w:adjustRightInd w:val="0"/>
        <w:ind w:left="360"/>
        <w:rPr>
          <w:sz w:val="22"/>
          <w:szCs w:val="22"/>
        </w:rPr>
      </w:pPr>
      <w:r w:rsidRPr="00624700">
        <w:rPr>
          <w:sz w:val="22"/>
          <w:szCs w:val="22"/>
        </w:rPr>
        <w:t xml:space="preserve">a) ławki parkowe o dł. ok. </w:t>
      </w:r>
      <w:smartTag w:uri="urn:schemas-microsoft-com:office:smarttags" w:element="metricconverter">
        <w:smartTagPr>
          <w:attr w:name="ProductID" w:val="160 cm"/>
        </w:smartTagPr>
        <w:r w:rsidRPr="00624700">
          <w:rPr>
            <w:sz w:val="22"/>
            <w:szCs w:val="22"/>
          </w:rPr>
          <w:t>160</w:t>
        </w:r>
        <w:r>
          <w:rPr>
            <w:sz w:val="22"/>
            <w:szCs w:val="22"/>
          </w:rPr>
          <w:t xml:space="preserve"> </w:t>
        </w:r>
        <w:r w:rsidRPr="00624700">
          <w:rPr>
            <w:sz w:val="22"/>
            <w:szCs w:val="22"/>
          </w:rPr>
          <w:t>cm</w:t>
        </w:r>
      </w:smartTag>
      <w:r w:rsidRPr="00624700">
        <w:rPr>
          <w:sz w:val="22"/>
          <w:szCs w:val="22"/>
        </w:rPr>
        <w:t xml:space="preserve">, bez oparcia, wysokość siedziska ok. 40cm, głębokość ok. </w:t>
      </w:r>
      <w:smartTag w:uri="urn:schemas-microsoft-com:office:smarttags" w:element="metricconverter">
        <w:smartTagPr>
          <w:attr w:name="ProductID" w:val="150 kg"/>
        </w:smartTagPr>
        <w:r w:rsidRPr="00624700">
          <w:rPr>
            <w:sz w:val="22"/>
            <w:szCs w:val="22"/>
          </w:rPr>
          <w:t>45 cm</w:t>
        </w:r>
      </w:smartTag>
      <w:r w:rsidRPr="00624700">
        <w:rPr>
          <w:sz w:val="22"/>
          <w:szCs w:val="22"/>
        </w:rPr>
        <w:t>, konstrukcja metalowa malowana proszkowo, siedzisko drewniane.</w:t>
      </w:r>
    </w:p>
    <w:p w:rsidR="00B33BA2" w:rsidRPr="00624700" w:rsidRDefault="00B33BA2" w:rsidP="005D5CFE">
      <w:pPr>
        <w:widowControl/>
        <w:autoSpaceDE w:val="0"/>
        <w:autoSpaceDN w:val="0"/>
        <w:adjustRightInd w:val="0"/>
        <w:rPr>
          <w:sz w:val="22"/>
          <w:szCs w:val="22"/>
        </w:rPr>
      </w:pPr>
    </w:p>
    <w:p w:rsidR="00B33BA2" w:rsidRPr="00624700" w:rsidRDefault="00B33BA2" w:rsidP="005D5CFE">
      <w:pPr>
        <w:widowControl/>
        <w:autoSpaceDE w:val="0"/>
        <w:autoSpaceDN w:val="0"/>
        <w:adjustRightInd w:val="0"/>
        <w:rPr>
          <w:sz w:val="22"/>
          <w:szCs w:val="22"/>
        </w:rPr>
      </w:pPr>
      <w:r>
        <w:rPr>
          <w:sz w:val="22"/>
          <w:szCs w:val="22"/>
        </w:rPr>
        <w:t>7</w:t>
      </w:r>
      <w:r w:rsidRPr="00624700">
        <w:rPr>
          <w:sz w:val="22"/>
          <w:szCs w:val="22"/>
        </w:rPr>
        <w:t>.1. Dodatkowe wymagania dotyczące  stołu betonowego do gier:</w:t>
      </w:r>
    </w:p>
    <w:p w:rsidR="00B33BA2" w:rsidRPr="00624700" w:rsidRDefault="00B33BA2" w:rsidP="00CC7896">
      <w:pPr>
        <w:widowControl/>
        <w:numPr>
          <w:ilvl w:val="0"/>
          <w:numId w:val="11"/>
        </w:numPr>
        <w:autoSpaceDE w:val="0"/>
        <w:autoSpaceDN w:val="0"/>
        <w:adjustRightInd w:val="0"/>
        <w:rPr>
          <w:sz w:val="22"/>
          <w:szCs w:val="22"/>
        </w:rPr>
      </w:pPr>
      <w:r w:rsidRPr="00624700">
        <w:rPr>
          <w:sz w:val="22"/>
          <w:szCs w:val="22"/>
        </w:rPr>
        <w:t xml:space="preserve">elementy konstrukcyjne wykonane z żelbetonu, </w:t>
      </w:r>
    </w:p>
    <w:p w:rsidR="00B33BA2" w:rsidRPr="00624700" w:rsidRDefault="00B33BA2" w:rsidP="007A7B0D">
      <w:pPr>
        <w:widowControl/>
        <w:numPr>
          <w:ilvl w:val="0"/>
          <w:numId w:val="11"/>
        </w:numPr>
        <w:autoSpaceDE w:val="0"/>
        <w:autoSpaceDN w:val="0"/>
        <w:adjustRightInd w:val="0"/>
        <w:rPr>
          <w:sz w:val="22"/>
          <w:szCs w:val="22"/>
        </w:rPr>
      </w:pPr>
      <w:r w:rsidRPr="00624700">
        <w:rPr>
          <w:sz w:val="22"/>
          <w:szCs w:val="22"/>
        </w:rPr>
        <w:t>siedziska trwale zamocowane do podłoża lub połączone z konstrukcją stołu, siedziska drewniane</w:t>
      </w:r>
    </w:p>
    <w:p w:rsidR="00B33BA2" w:rsidRPr="00624700" w:rsidRDefault="00B33BA2" w:rsidP="005D5CFE">
      <w:pPr>
        <w:widowControl/>
        <w:autoSpaceDE w:val="0"/>
        <w:autoSpaceDN w:val="0"/>
        <w:adjustRightInd w:val="0"/>
        <w:rPr>
          <w:sz w:val="22"/>
          <w:szCs w:val="22"/>
        </w:rPr>
      </w:pPr>
    </w:p>
    <w:p w:rsidR="00B33BA2" w:rsidRPr="00624700" w:rsidRDefault="00B33BA2" w:rsidP="005D5CFE">
      <w:pPr>
        <w:widowControl/>
        <w:autoSpaceDE w:val="0"/>
        <w:autoSpaceDN w:val="0"/>
        <w:adjustRightInd w:val="0"/>
        <w:rPr>
          <w:sz w:val="22"/>
          <w:szCs w:val="22"/>
        </w:rPr>
      </w:pPr>
      <w:r>
        <w:rPr>
          <w:sz w:val="22"/>
          <w:szCs w:val="22"/>
        </w:rPr>
        <w:t>7</w:t>
      </w:r>
      <w:r w:rsidRPr="00624700">
        <w:rPr>
          <w:sz w:val="22"/>
          <w:szCs w:val="22"/>
        </w:rPr>
        <w:t>.2. Dodatkowe wymagania dotyczące  stołu betonowego do ping-ponga:</w:t>
      </w:r>
    </w:p>
    <w:p w:rsidR="00B33BA2" w:rsidRPr="00624700" w:rsidRDefault="00B33BA2" w:rsidP="00973B2A">
      <w:pPr>
        <w:pStyle w:val="NormalWeb"/>
        <w:numPr>
          <w:ilvl w:val="0"/>
          <w:numId w:val="10"/>
        </w:numPr>
        <w:rPr>
          <w:sz w:val="22"/>
          <w:szCs w:val="22"/>
        </w:rPr>
      </w:pPr>
      <w:r w:rsidRPr="00624700">
        <w:rPr>
          <w:sz w:val="22"/>
          <w:szCs w:val="22"/>
        </w:rPr>
        <w:t xml:space="preserve">wymiary: wysokość: </w:t>
      </w:r>
      <w:smartTag w:uri="urn:schemas-microsoft-com:office:smarttags" w:element="metricconverter">
        <w:smartTagPr>
          <w:attr w:name="ProductID" w:val="150 kg"/>
        </w:smartTagPr>
        <w:r w:rsidRPr="00624700">
          <w:rPr>
            <w:sz w:val="22"/>
            <w:szCs w:val="22"/>
          </w:rPr>
          <w:t>76 cm</w:t>
        </w:r>
      </w:smartTag>
      <w:r w:rsidRPr="00624700">
        <w:rPr>
          <w:sz w:val="22"/>
          <w:szCs w:val="22"/>
        </w:rPr>
        <w:t xml:space="preserve">, szerokość: </w:t>
      </w:r>
      <w:smartTag w:uri="urn:schemas-microsoft-com:office:smarttags" w:element="metricconverter">
        <w:smartTagPr>
          <w:attr w:name="ProductID" w:val="150 kg"/>
        </w:smartTagPr>
        <w:r w:rsidRPr="00624700">
          <w:rPr>
            <w:sz w:val="22"/>
            <w:szCs w:val="22"/>
          </w:rPr>
          <w:t>152 cm</w:t>
        </w:r>
      </w:smartTag>
      <w:r w:rsidRPr="00624700">
        <w:rPr>
          <w:sz w:val="22"/>
          <w:szCs w:val="22"/>
        </w:rPr>
        <w:t xml:space="preserve">, długość: </w:t>
      </w:r>
      <w:smartTag w:uri="urn:schemas-microsoft-com:office:smarttags" w:element="metricconverter">
        <w:smartTagPr>
          <w:attr w:name="ProductID" w:val="150 kg"/>
        </w:smartTagPr>
        <w:r w:rsidRPr="00624700">
          <w:rPr>
            <w:sz w:val="22"/>
            <w:szCs w:val="22"/>
          </w:rPr>
          <w:t>274 cm</w:t>
        </w:r>
      </w:smartTag>
      <w:r w:rsidRPr="00624700">
        <w:rPr>
          <w:sz w:val="22"/>
          <w:szCs w:val="22"/>
        </w:rPr>
        <w:t>,</w:t>
      </w:r>
    </w:p>
    <w:p w:rsidR="00B33BA2" w:rsidRPr="00624700" w:rsidRDefault="00B33BA2" w:rsidP="00973B2A">
      <w:pPr>
        <w:pStyle w:val="NormalWeb"/>
        <w:numPr>
          <w:ilvl w:val="0"/>
          <w:numId w:val="10"/>
        </w:numPr>
        <w:rPr>
          <w:sz w:val="22"/>
          <w:szCs w:val="22"/>
        </w:rPr>
      </w:pPr>
      <w:r w:rsidRPr="00624700">
        <w:rPr>
          <w:sz w:val="22"/>
          <w:szCs w:val="22"/>
        </w:rPr>
        <w:t>zrobiony z wibrowanego betonu zbrojonego,</w:t>
      </w:r>
    </w:p>
    <w:p w:rsidR="00B33BA2" w:rsidRPr="00624700" w:rsidRDefault="00B33BA2" w:rsidP="00973B2A">
      <w:pPr>
        <w:pStyle w:val="NormalWeb"/>
        <w:numPr>
          <w:ilvl w:val="0"/>
          <w:numId w:val="10"/>
        </w:numPr>
        <w:rPr>
          <w:sz w:val="22"/>
          <w:szCs w:val="22"/>
        </w:rPr>
      </w:pPr>
      <w:r w:rsidRPr="00624700">
        <w:rPr>
          <w:sz w:val="22"/>
          <w:szCs w:val="22"/>
        </w:rPr>
        <w:t>blat zielony i pokryty lakierem ochronnym,</w:t>
      </w:r>
    </w:p>
    <w:p w:rsidR="00B33BA2" w:rsidRPr="00624700" w:rsidRDefault="00B33BA2" w:rsidP="001B2F0C">
      <w:pPr>
        <w:pStyle w:val="NormalWeb"/>
        <w:numPr>
          <w:ilvl w:val="0"/>
          <w:numId w:val="10"/>
        </w:numPr>
        <w:rPr>
          <w:sz w:val="22"/>
          <w:szCs w:val="22"/>
        </w:rPr>
      </w:pPr>
      <w:r w:rsidRPr="00624700">
        <w:rPr>
          <w:sz w:val="22"/>
          <w:szCs w:val="22"/>
        </w:rPr>
        <w:t>brzegi blatu są zaokrąglone profilem aluminiowym,</w:t>
      </w:r>
    </w:p>
    <w:p w:rsidR="00B33BA2" w:rsidRPr="00624700" w:rsidRDefault="00B33BA2" w:rsidP="001B2F0C">
      <w:pPr>
        <w:pStyle w:val="NormalWeb"/>
        <w:numPr>
          <w:ilvl w:val="0"/>
          <w:numId w:val="10"/>
        </w:numPr>
        <w:rPr>
          <w:sz w:val="22"/>
          <w:szCs w:val="22"/>
        </w:rPr>
      </w:pPr>
      <w:r w:rsidRPr="00624700">
        <w:rPr>
          <w:sz w:val="22"/>
          <w:szCs w:val="22"/>
        </w:rPr>
        <w:t>siatka wykonana z blachy stalowej ocynkowanej, na stałe zamocowana do stołu,</w:t>
      </w:r>
      <w:r w:rsidRPr="00624700">
        <w:rPr>
          <w:sz w:val="22"/>
          <w:szCs w:val="22"/>
        </w:rPr>
        <w:br/>
      </w:r>
    </w:p>
    <w:p w:rsidR="00B33BA2" w:rsidRPr="00624700" w:rsidRDefault="00B33BA2" w:rsidP="003D2E99">
      <w:pPr>
        <w:widowControl/>
        <w:autoSpaceDE w:val="0"/>
        <w:autoSpaceDN w:val="0"/>
        <w:adjustRightInd w:val="0"/>
        <w:rPr>
          <w:sz w:val="22"/>
          <w:szCs w:val="22"/>
        </w:rPr>
      </w:pPr>
      <w:r>
        <w:rPr>
          <w:sz w:val="22"/>
          <w:szCs w:val="22"/>
        </w:rPr>
        <w:t>8</w:t>
      </w:r>
      <w:r w:rsidRPr="00624700">
        <w:rPr>
          <w:sz w:val="22"/>
          <w:szCs w:val="22"/>
        </w:rPr>
        <w:t>. Dodatkowe wymagania dotyczące placu zabaw</w:t>
      </w:r>
    </w:p>
    <w:p w:rsidR="00B33BA2" w:rsidRPr="00624700" w:rsidRDefault="00B33BA2" w:rsidP="009647FF">
      <w:pPr>
        <w:ind w:left="357"/>
        <w:jc w:val="both"/>
        <w:rPr>
          <w:sz w:val="22"/>
          <w:szCs w:val="22"/>
        </w:rPr>
      </w:pPr>
      <w:r w:rsidRPr="00624700">
        <w:rPr>
          <w:sz w:val="22"/>
          <w:szCs w:val="22"/>
        </w:rPr>
        <w:t xml:space="preserve">a) nawierzchnie piaskowe należy wykonać z piasku frakcji 0,2 </w:t>
      </w:r>
      <w:smartTag w:uri="urn:schemas-microsoft-com:office:smarttags" w:element="metricconverter">
        <w:smartTagPr>
          <w:attr w:name="ProductID" w:val="150 kg"/>
        </w:smartTagPr>
        <w:r w:rsidRPr="00624700">
          <w:rPr>
            <w:sz w:val="22"/>
            <w:szCs w:val="22"/>
          </w:rPr>
          <w:t>-2 mm</w:t>
        </w:r>
      </w:smartTag>
      <w:r w:rsidRPr="00624700">
        <w:rPr>
          <w:sz w:val="22"/>
          <w:szCs w:val="22"/>
        </w:rPr>
        <w:t>,</w:t>
      </w:r>
    </w:p>
    <w:p w:rsidR="00B33BA2" w:rsidRPr="00624700" w:rsidRDefault="00B33BA2" w:rsidP="009647FF">
      <w:pPr>
        <w:ind w:left="357"/>
        <w:jc w:val="both"/>
        <w:rPr>
          <w:sz w:val="22"/>
          <w:szCs w:val="22"/>
        </w:rPr>
      </w:pPr>
      <w:r w:rsidRPr="00624700">
        <w:rPr>
          <w:sz w:val="22"/>
          <w:szCs w:val="22"/>
        </w:rPr>
        <w:t xml:space="preserve">b) trampolina o wymiarach min. 140 x </w:t>
      </w:r>
      <w:smartTag w:uri="urn:schemas-microsoft-com:office:smarttags" w:element="metricconverter">
        <w:smartTagPr>
          <w:attr w:name="ProductID" w:val="150 kg"/>
        </w:smartTagPr>
        <w:r w:rsidRPr="00624700">
          <w:rPr>
            <w:sz w:val="22"/>
            <w:szCs w:val="22"/>
          </w:rPr>
          <w:t>140 cm</w:t>
        </w:r>
      </w:smartTag>
      <w:r w:rsidRPr="00624700">
        <w:rPr>
          <w:sz w:val="22"/>
          <w:szCs w:val="22"/>
        </w:rPr>
        <w:t xml:space="preserve"> (może być także okrągła),</w:t>
      </w:r>
    </w:p>
    <w:p w:rsidR="00B33BA2" w:rsidRPr="00624700" w:rsidRDefault="00B33BA2" w:rsidP="009647FF">
      <w:pPr>
        <w:ind w:left="357"/>
        <w:jc w:val="both"/>
        <w:rPr>
          <w:sz w:val="22"/>
          <w:szCs w:val="22"/>
        </w:rPr>
      </w:pPr>
      <w:r w:rsidRPr="00624700">
        <w:rPr>
          <w:sz w:val="22"/>
          <w:szCs w:val="22"/>
        </w:rPr>
        <w:t xml:space="preserve">c) urządzenia wykonane dla obciążeń osób o wadze min </w:t>
      </w:r>
      <w:smartTag w:uri="urn:schemas-microsoft-com:office:smarttags" w:element="metricconverter">
        <w:smartTagPr>
          <w:attr w:name="ProductID" w:val="150 kg"/>
        </w:smartTagPr>
        <w:r w:rsidRPr="00624700">
          <w:rPr>
            <w:sz w:val="22"/>
            <w:szCs w:val="22"/>
          </w:rPr>
          <w:t>150 kg</w:t>
        </w:r>
      </w:smartTag>
      <w:r w:rsidRPr="00624700">
        <w:rPr>
          <w:sz w:val="22"/>
          <w:szCs w:val="22"/>
        </w:rPr>
        <w:t>,</w:t>
      </w:r>
    </w:p>
    <w:p w:rsidR="00B33BA2" w:rsidRPr="00624700" w:rsidRDefault="00B33BA2" w:rsidP="009647FF">
      <w:pPr>
        <w:ind w:left="357"/>
        <w:jc w:val="both"/>
        <w:rPr>
          <w:sz w:val="22"/>
          <w:szCs w:val="22"/>
        </w:rPr>
      </w:pPr>
      <w:r w:rsidRPr="00624700">
        <w:rPr>
          <w:sz w:val="22"/>
          <w:szCs w:val="22"/>
        </w:rPr>
        <w:t xml:space="preserve">d) </w:t>
      </w:r>
      <w:r w:rsidRPr="00624700">
        <w:rPr>
          <w:color w:val="000000"/>
          <w:sz w:val="22"/>
          <w:szCs w:val="22"/>
        </w:rPr>
        <w:t>urządzenia powinny być zgodne z normą EN 1176-1:2008 i 1176-11:2008 </w:t>
      </w:r>
    </w:p>
    <w:sectPr w:rsidR="00B33BA2" w:rsidRPr="00624700" w:rsidSect="00E747E7">
      <w:footerReference w:type="even" r:id="rId7"/>
      <w:footerReference w:type="default" r:id="rId8"/>
      <w:pgSz w:w="11906" w:h="16838"/>
      <w:pgMar w:top="1134" w:right="1418" w:bottom="1134" w:left="1418" w:header="0"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BA2" w:rsidRDefault="00B33BA2">
      <w:r>
        <w:separator/>
      </w:r>
    </w:p>
  </w:endnote>
  <w:endnote w:type="continuationSeparator" w:id="0">
    <w:p w:rsidR="00B33BA2" w:rsidRDefault="00B33BA2">
      <w:r>
        <w:continuationSeparator/>
      </w:r>
    </w:p>
  </w:endnote>
</w:endnotes>
</file>

<file path=word/fontTable.xml><?xml version="1.0" encoding="utf-8"?>
<w:fonts xmlns:r="http://schemas.openxmlformats.org/officeDocument/2006/relationships" xmlns:w="http://schemas.openxmlformats.org/wordprocessingml/2006/main">
  <w:font w:name="OpenSymbol">
    <w:panose1 w:val="00000000000000000000"/>
    <w:charset w:val="02"/>
    <w:family w:val="auto"/>
    <w:notTrueType/>
    <w:pitch w:val="default"/>
    <w:sig w:usb0="00000000" w:usb1="00000000" w:usb2="00000000" w:usb3="00000000" w:csb0="00000000"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MSTT31f16d5a04o204081S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A2" w:rsidRDefault="00B33BA2" w:rsidP="00EE3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BA2" w:rsidRDefault="00B33BA2" w:rsidP="001537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A2" w:rsidRDefault="00B33BA2" w:rsidP="00EE3C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33BA2" w:rsidRDefault="00B33BA2" w:rsidP="0015379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BA2" w:rsidRDefault="00B33BA2">
      <w:r>
        <w:separator/>
      </w:r>
    </w:p>
  </w:footnote>
  <w:footnote w:type="continuationSeparator" w:id="0">
    <w:p w:rsidR="00B33BA2" w:rsidRDefault="00B33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95B5D"/>
    <w:multiLevelType w:val="multilevel"/>
    <w:tmpl w:val="9B581C8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
    <w:nsid w:val="0BA620E1"/>
    <w:multiLevelType w:val="hybridMultilevel"/>
    <w:tmpl w:val="25B61F6A"/>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305E3777"/>
    <w:multiLevelType w:val="multilevel"/>
    <w:tmpl w:val="DFB4BB30"/>
    <w:lvl w:ilvl="0">
      <w:start w:val="1"/>
      <w:numFmt w:val="decimal"/>
      <w:lvlText w:val="%1."/>
      <w:lvlJc w:val="left"/>
      <w:pPr>
        <w:tabs>
          <w:tab w:val="num" w:pos="360"/>
        </w:tabs>
        <w:ind w:left="360" w:hanging="360"/>
      </w:pPr>
      <w:rPr>
        <w:rFonts w:cs="Times New Roman"/>
        <w:sz w:val="22"/>
        <w:szCs w:val="22"/>
        <w:vertAlign w:val="baseline"/>
      </w:rPr>
    </w:lvl>
    <w:lvl w:ilvl="1">
      <w:start w:val="1"/>
      <w:numFmt w:val="decimal"/>
      <w:lvlText w:val="%2."/>
      <w:lvlJc w:val="left"/>
      <w:pPr>
        <w:ind w:left="1080" w:hanging="360"/>
      </w:pPr>
      <w:rPr>
        <w:rFonts w:cs="Times New Roman"/>
        <w:vertAlign w:val="baseline"/>
      </w:rPr>
    </w:lvl>
    <w:lvl w:ilvl="2">
      <w:start w:val="1"/>
      <w:numFmt w:val="decimal"/>
      <w:lvlText w:val="%3."/>
      <w:lvlJc w:val="left"/>
      <w:pPr>
        <w:ind w:left="1800" w:hanging="36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decimal"/>
      <w:lvlText w:val="%5."/>
      <w:lvlJc w:val="left"/>
      <w:pPr>
        <w:ind w:left="3240" w:hanging="360"/>
      </w:pPr>
      <w:rPr>
        <w:rFonts w:cs="Times New Roman"/>
        <w:vertAlign w:val="baseline"/>
      </w:rPr>
    </w:lvl>
    <w:lvl w:ilvl="5">
      <w:start w:val="1"/>
      <w:numFmt w:val="decimal"/>
      <w:lvlText w:val="%6."/>
      <w:lvlJc w:val="left"/>
      <w:pPr>
        <w:ind w:left="3960" w:hanging="36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decimal"/>
      <w:lvlText w:val="%8."/>
      <w:lvlJc w:val="left"/>
      <w:pPr>
        <w:ind w:left="5400" w:hanging="360"/>
      </w:pPr>
      <w:rPr>
        <w:rFonts w:cs="Times New Roman"/>
        <w:vertAlign w:val="baseline"/>
      </w:rPr>
    </w:lvl>
    <w:lvl w:ilvl="8">
      <w:start w:val="1"/>
      <w:numFmt w:val="decimal"/>
      <w:lvlText w:val="%9."/>
      <w:lvlJc w:val="left"/>
      <w:pPr>
        <w:ind w:left="6120" w:hanging="360"/>
      </w:pPr>
      <w:rPr>
        <w:rFonts w:cs="Times New Roman"/>
        <w:vertAlign w:val="baseline"/>
      </w:rPr>
    </w:lvl>
  </w:abstractNum>
  <w:abstractNum w:abstractNumId="3">
    <w:nsid w:val="41772642"/>
    <w:multiLevelType w:val="multilevel"/>
    <w:tmpl w:val="365A8368"/>
    <w:lvl w:ilvl="0">
      <w:start w:val="1"/>
      <w:numFmt w:val="decimal"/>
      <w:lvlText w:val="%1)"/>
      <w:lvlJc w:val="left"/>
      <w:pPr>
        <w:ind w:left="360" w:hanging="360"/>
      </w:pPr>
      <w:rPr>
        <w:rFonts w:ascii="Calibri" w:eastAsia="Times New Roman" w:hAnsi="Calibri" w:cs="Calibri"/>
        <w:sz w:val="22"/>
        <w:szCs w:val="22"/>
        <w:vertAlign w:val="baseline"/>
      </w:rPr>
    </w:lvl>
    <w:lvl w:ilvl="1">
      <w:start w:val="1"/>
      <w:numFmt w:val="decimal"/>
      <w:lvlText w:val="%2."/>
      <w:lvlJc w:val="left"/>
      <w:pPr>
        <w:ind w:left="1080" w:hanging="360"/>
      </w:pPr>
      <w:rPr>
        <w:rFonts w:cs="Times New Roman"/>
        <w:vertAlign w:val="baseline"/>
      </w:rPr>
    </w:lvl>
    <w:lvl w:ilvl="2">
      <w:start w:val="1"/>
      <w:numFmt w:val="decimal"/>
      <w:lvlText w:val="%3."/>
      <w:lvlJc w:val="left"/>
      <w:pPr>
        <w:ind w:left="1800" w:hanging="36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decimal"/>
      <w:lvlText w:val="%5."/>
      <w:lvlJc w:val="left"/>
      <w:pPr>
        <w:ind w:left="3240" w:hanging="360"/>
      </w:pPr>
      <w:rPr>
        <w:rFonts w:cs="Times New Roman"/>
        <w:vertAlign w:val="baseline"/>
      </w:rPr>
    </w:lvl>
    <w:lvl w:ilvl="5">
      <w:start w:val="1"/>
      <w:numFmt w:val="decimal"/>
      <w:lvlText w:val="%6."/>
      <w:lvlJc w:val="left"/>
      <w:pPr>
        <w:ind w:left="3960" w:hanging="36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decimal"/>
      <w:lvlText w:val="%8."/>
      <w:lvlJc w:val="left"/>
      <w:pPr>
        <w:ind w:left="5400" w:hanging="360"/>
      </w:pPr>
      <w:rPr>
        <w:rFonts w:cs="Times New Roman"/>
        <w:vertAlign w:val="baseline"/>
      </w:rPr>
    </w:lvl>
    <w:lvl w:ilvl="8">
      <w:start w:val="1"/>
      <w:numFmt w:val="decimal"/>
      <w:lvlText w:val="%9."/>
      <w:lvlJc w:val="left"/>
      <w:pPr>
        <w:ind w:left="6120" w:hanging="360"/>
      </w:pPr>
      <w:rPr>
        <w:rFonts w:cs="Times New Roman"/>
        <w:vertAlign w:val="baseline"/>
      </w:rPr>
    </w:lvl>
  </w:abstractNum>
  <w:abstractNum w:abstractNumId="4">
    <w:nsid w:val="46600A8C"/>
    <w:multiLevelType w:val="multilevel"/>
    <w:tmpl w:val="B30A01A8"/>
    <w:lvl w:ilvl="0">
      <w:start w:val="1"/>
      <w:numFmt w:val="bullet"/>
      <w:lvlText w:val="➢"/>
      <w:lvlJc w:val="left"/>
      <w:pPr>
        <w:ind w:left="1068" w:hanging="360"/>
      </w:pPr>
      <w:rPr>
        <w:rFonts w:ascii="Arial" w:eastAsia="Times New Roman" w:hAnsi="Arial"/>
        <w:sz w:val="22"/>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4C8433B2"/>
    <w:multiLevelType w:val="hybridMultilevel"/>
    <w:tmpl w:val="CB50526E"/>
    <w:lvl w:ilvl="0" w:tplc="04150001">
      <w:start w:val="1"/>
      <w:numFmt w:val="bullet"/>
      <w:lvlText w:val=""/>
      <w:lvlJc w:val="left"/>
      <w:pPr>
        <w:ind w:left="1248" w:hanging="540"/>
      </w:pPr>
      <w:rPr>
        <w:rFonts w:ascii="Symbol" w:hAnsi="Symbol" w:hint="default"/>
      </w:rPr>
    </w:lvl>
    <w:lvl w:ilvl="1" w:tplc="0415000B">
      <w:start w:val="1"/>
      <w:numFmt w:val="bullet"/>
      <w:lvlText w:val=""/>
      <w:lvlJc w:val="left"/>
      <w:pPr>
        <w:ind w:left="1788" w:hanging="360"/>
      </w:pPr>
      <w:rPr>
        <w:rFonts w:ascii="Wingdings" w:hAnsi="Wingdings" w:hint="default"/>
      </w:rPr>
    </w:lvl>
    <w:lvl w:ilvl="2" w:tplc="04150011">
      <w:start w:val="1"/>
      <w:numFmt w:val="decimal"/>
      <w:lvlText w:val="%3)"/>
      <w:lvlJc w:val="lef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6">
    <w:nsid w:val="53A11E00"/>
    <w:multiLevelType w:val="hybridMultilevel"/>
    <w:tmpl w:val="32B01AB0"/>
    <w:lvl w:ilvl="0" w:tplc="1DAEFAC2">
      <w:start w:val="1"/>
      <w:numFmt w:val="decimal"/>
      <w:lvlText w:val="%1)"/>
      <w:lvlJc w:val="left"/>
      <w:pPr>
        <w:ind w:left="1428" w:hanging="360"/>
      </w:pPr>
      <w:rPr>
        <w:rFonts w:cs="Times New Roman"/>
        <w:b w:val="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7">
    <w:nsid w:val="599328A8"/>
    <w:multiLevelType w:val="hybridMultilevel"/>
    <w:tmpl w:val="06DA21D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B1D0C26"/>
    <w:multiLevelType w:val="hybridMultilevel"/>
    <w:tmpl w:val="6CFC9DD0"/>
    <w:lvl w:ilvl="0" w:tplc="7356200A">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77071B23"/>
    <w:multiLevelType w:val="multilevel"/>
    <w:tmpl w:val="71A2B280"/>
    <w:lvl w:ilvl="0">
      <w:start w:val="1"/>
      <w:numFmt w:val="bullet"/>
      <w:lvlText w:val="●"/>
      <w:lvlJc w:val="left"/>
      <w:pPr>
        <w:ind w:left="1422" w:hanging="360"/>
      </w:pPr>
      <w:rPr>
        <w:rFonts w:ascii="Arial" w:eastAsia="Times New Roman" w:hAnsi="Arial"/>
        <w:sz w:val="22"/>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79BC7C55"/>
    <w:multiLevelType w:val="hybridMultilevel"/>
    <w:tmpl w:val="416AE1BE"/>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9"/>
  </w:num>
  <w:num w:numId="4">
    <w:abstractNumId w:val="0"/>
  </w:num>
  <w:num w:numId="5">
    <w:abstractNumId w:val="5"/>
  </w:num>
  <w:num w:numId="6">
    <w:abstractNumId w:val="6"/>
  </w:num>
  <w:num w:numId="7">
    <w:abstractNumId w:val="3"/>
  </w:num>
  <w:num w:numId="8">
    <w:abstractNumId w:val="8"/>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129"/>
    <w:rsid w:val="000167A1"/>
    <w:rsid w:val="000310A2"/>
    <w:rsid w:val="000C3D29"/>
    <w:rsid w:val="000E41EB"/>
    <w:rsid w:val="00153798"/>
    <w:rsid w:val="001A25B5"/>
    <w:rsid w:val="001B2F0C"/>
    <w:rsid w:val="00240EEF"/>
    <w:rsid w:val="00286F6E"/>
    <w:rsid w:val="002B69A3"/>
    <w:rsid w:val="003D2E99"/>
    <w:rsid w:val="0044233A"/>
    <w:rsid w:val="004727EE"/>
    <w:rsid w:val="00474C1A"/>
    <w:rsid w:val="004B3927"/>
    <w:rsid w:val="004C1221"/>
    <w:rsid w:val="004E0753"/>
    <w:rsid w:val="00512C5B"/>
    <w:rsid w:val="0056763A"/>
    <w:rsid w:val="0057068C"/>
    <w:rsid w:val="00582902"/>
    <w:rsid w:val="0058484B"/>
    <w:rsid w:val="005B0877"/>
    <w:rsid w:val="005D5CFE"/>
    <w:rsid w:val="005D6129"/>
    <w:rsid w:val="00617CC7"/>
    <w:rsid w:val="00624700"/>
    <w:rsid w:val="006379B0"/>
    <w:rsid w:val="00651F38"/>
    <w:rsid w:val="006653DC"/>
    <w:rsid w:val="006F6BBB"/>
    <w:rsid w:val="006F6E82"/>
    <w:rsid w:val="00722243"/>
    <w:rsid w:val="00727AC0"/>
    <w:rsid w:val="0079394C"/>
    <w:rsid w:val="007A7B0D"/>
    <w:rsid w:val="008076D6"/>
    <w:rsid w:val="0081730C"/>
    <w:rsid w:val="00855376"/>
    <w:rsid w:val="00896CAC"/>
    <w:rsid w:val="008B3026"/>
    <w:rsid w:val="009045E2"/>
    <w:rsid w:val="009647FF"/>
    <w:rsid w:val="00973B2A"/>
    <w:rsid w:val="00983626"/>
    <w:rsid w:val="009E2757"/>
    <w:rsid w:val="00A10557"/>
    <w:rsid w:val="00A16CDF"/>
    <w:rsid w:val="00A33623"/>
    <w:rsid w:val="00A33D4A"/>
    <w:rsid w:val="00A373EA"/>
    <w:rsid w:val="00A601A7"/>
    <w:rsid w:val="00AC4B4E"/>
    <w:rsid w:val="00AF4644"/>
    <w:rsid w:val="00B3177D"/>
    <w:rsid w:val="00B33BA2"/>
    <w:rsid w:val="00BA1469"/>
    <w:rsid w:val="00BB23A8"/>
    <w:rsid w:val="00C1665A"/>
    <w:rsid w:val="00C73F42"/>
    <w:rsid w:val="00CC7896"/>
    <w:rsid w:val="00CD68E0"/>
    <w:rsid w:val="00CD77A1"/>
    <w:rsid w:val="00D56404"/>
    <w:rsid w:val="00DE2EFA"/>
    <w:rsid w:val="00DE4BAF"/>
    <w:rsid w:val="00DF3E5C"/>
    <w:rsid w:val="00E35AB5"/>
    <w:rsid w:val="00E54796"/>
    <w:rsid w:val="00E747E7"/>
    <w:rsid w:val="00EC53AA"/>
    <w:rsid w:val="00EE3C3C"/>
    <w:rsid w:val="00F238F7"/>
    <w:rsid w:val="00F23999"/>
    <w:rsid w:val="00F43837"/>
    <w:rsid w:val="00FC63B7"/>
    <w:rsid w:val="00FE0EF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69"/>
    <w:pPr>
      <w:widowControl w:val="0"/>
    </w:pPr>
    <w:rPr>
      <w:sz w:val="20"/>
      <w:szCs w:val="20"/>
    </w:rPr>
  </w:style>
  <w:style w:type="paragraph" w:styleId="Heading1">
    <w:name w:val="heading 1"/>
    <w:basedOn w:val="Normal"/>
    <w:next w:val="Normal"/>
    <w:link w:val="Heading1Char"/>
    <w:uiPriority w:val="99"/>
    <w:qFormat/>
    <w:rsid w:val="00BA1469"/>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BA1469"/>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BA1469"/>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BA1469"/>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BA1469"/>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BA1469"/>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41E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E41E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E41E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E41E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E41E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E41EB"/>
    <w:rPr>
      <w:rFonts w:ascii="Calibri" w:hAnsi="Calibri" w:cs="Times New Roman"/>
      <w:b/>
      <w:bCs/>
    </w:rPr>
  </w:style>
  <w:style w:type="table" w:customStyle="1" w:styleId="TableNormal1">
    <w:name w:val="Table Normal1"/>
    <w:uiPriority w:val="99"/>
    <w:rsid w:val="00BA1469"/>
    <w:pPr>
      <w:widowControl w:val="0"/>
    </w:pPr>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BA1469"/>
    <w:pPr>
      <w:keepNext/>
      <w:keepLines/>
      <w:spacing w:before="480" w:after="120"/>
    </w:pPr>
    <w:rPr>
      <w:b/>
      <w:sz w:val="72"/>
      <w:szCs w:val="72"/>
    </w:rPr>
  </w:style>
  <w:style w:type="character" w:customStyle="1" w:styleId="TitleChar">
    <w:name w:val="Title Char"/>
    <w:basedOn w:val="DefaultParagraphFont"/>
    <w:link w:val="Title"/>
    <w:uiPriority w:val="99"/>
    <w:locked/>
    <w:rsid w:val="000E41EB"/>
    <w:rPr>
      <w:rFonts w:ascii="Cambria" w:hAnsi="Cambria" w:cs="Times New Roman"/>
      <w:b/>
      <w:bCs/>
      <w:kern w:val="28"/>
      <w:sz w:val="32"/>
      <w:szCs w:val="32"/>
    </w:rPr>
  </w:style>
  <w:style w:type="paragraph" w:styleId="Subtitle">
    <w:name w:val="Subtitle"/>
    <w:basedOn w:val="Normal"/>
    <w:next w:val="Normal"/>
    <w:link w:val="SubtitleChar"/>
    <w:uiPriority w:val="99"/>
    <w:qFormat/>
    <w:rsid w:val="00BA1469"/>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0E41EB"/>
    <w:rPr>
      <w:rFonts w:ascii="Cambria" w:hAnsi="Cambria" w:cs="Times New Roman"/>
      <w:sz w:val="24"/>
      <w:szCs w:val="24"/>
    </w:rPr>
  </w:style>
  <w:style w:type="paragraph" w:customStyle="1" w:styleId="Standard">
    <w:name w:val="Standard"/>
    <w:uiPriority w:val="99"/>
    <w:rsid w:val="004727EE"/>
    <w:pPr>
      <w:suppressAutoHyphens/>
      <w:autoSpaceDN w:val="0"/>
      <w:textAlignment w:val="baseline"/>
    </w:pPr>
    <w:rPr>
      <w:rFonts w:cs="Mangal"/>
      <w:kern w:val="3"/>
      <w:sz w:val="24"/>
      <w:szCs w:val="24"/>
      <w:lang w:eastAsia="zh-CN" w:bidi="hi-IN"/>
    </w:rPr>
  </w:style>
  <w:style w:type="paragraph" w:styleId="ListParagraph">
    <w:name w:val="List Paragraph"/>
    <w:basedOn w:val="Normal"/>
    <w:uiPriority w:val="99"/>
    <w:qFormat/>
    <w:rsid w:val="00286F6E"/>
    <w:pPr>
      <w:widowControl/>
      <w:spacing w:after="160" w:line="259" w:lineRule="auto"/>
      <w:ind w:left="720"/>
      <w:contextualSpacing/>
    </w:pPr>
    <w:rPr>
      <w:rFonts w:ascii="Calibri" w:hAnsi="Calibri"/>
      <w:sz w:val="22"/>
      <w:szCs w:val="22"/>
      <w:lang w:eastAsia="en-US"/>
    </w:rPr>
  </w:style>
  <w:style w:type="paragraph" w:styleId="NormalWeb">
    <w:name w:val="Normal (Web)"/>
    <w:basedOn w:val="Normal"/>
    <w:uiPriority w:val="99"/>
    <w:rsid w:val="001B2F0C"/>
    <w:pPr>
      <w:widowControl/>
      <w:spacing w:before="100" w:beforeAutospacing="1" w:after="100" w:afterAutospacing="1"/>
    </w:pPr>
    <w:rPr>
      <w:sz w:val="24"/>
      <w:szCs w:val="24"/>
    </w:rPr>
  </w:style>
  <w:style w:type="character" w:styleId="Strong">
    <w:name w:val="Strong"/>
    <w:basedOn w:val="DefaultParagraphFont"/>
    <w:uiPriority w:val="99"/>
    <w:qFormat/>
    <w:locked/>
    <w:rsid w:val="001B2F0C"/>
    <w:rPr>
      <w:rFonts w:cs="Times New Roman"/>
      <w:b/>
      <w:bCs/>
    </w:rPr>
  </w:style>
  <w:style w:type="paragraph" w:styleId="Footer">
    <w:name w:val="footer"/>
    <w:basedOn w:val="Normal"/>
    <w:link w:val="FooterChar"/>
    <w:uiPriority w:val="99"/>
    <w:rsid w:val="00153798"/>
    <w:pPr>
      <w:tabs>
        <w:tab w:val="center" w:pos="4536"/>
        <w:tab w:val="right" w:pos="9072"/>
      </w:tabs>
    </w:pPr>
  </w:style>
  <w:style w:type="character" w:customStyle="1" w:styleId="FooterChar">
    <w:name w:val="Footer Char"/>
    <w:basedOn w:val="DefaultParagraphFont"/>
    <w:link w:val="Footer"/>
    <w:uiPriority w:val="99"/>
    <w:semiHidden/>
    <w:rsid w:val="005413C0"/>
    <w:rPr>
      <w:sz w:val="20"/>
      <w:szCs w:val="20"/>
    </w:rPr>
  </w:style>
  <w:style w:type="character" w:styleId="PageNumber">
    <w:name w:val="page number"/>
    <w:basedOn w:val="DefaultParagraphFont"/>
    <w:uiPriority w:val="99"/>
    <w:rsid w:val="00153798"/>
    <w:rPr>
      <w:rFonts w:cs="Times New Roman"/>
    </w:rPr>
  </w:style>
</w:styles>
</file>

<file path=word/webSettings.xml><?xml version="1.0" encoding="utf-8"?>
<w:webSettings xmlns:r="http://schemas.openxmlformats.org/officeDocument/2006/relationships" xmlns:w="http://schemas.openxmlformats.org/wordprocessingml/2006/main">
  <w:divs>
    <w:div w:id="1789005803">
      <w:marLeft w:val="0"/>
      <w:marRight w:val="0"/>
      <w:marTop w:val="0"/>
      <w:marBottom w:val="0"/>
      <w:divBdr>
        <w:top w:val="none" w:sz="0" w:space="0" w:color="auto"/>
        <w:left w:val="none" w:sz="0" w:space="0" w:color="auto"/>
        <w:bottom w:val="none" w:sz="0" w:space="0" w:color="auto"/>
        <w:right w:val="none" w:sz="0" w:space="0" w:color="auto"/>
      </w:divBdr>
    </w:div>
    <w:div w:id="17890058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233</TotalTime>
  <Pages>2</Pages>
  <Words>534</Words>
  <Characters>3206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kzagrobelna</cp:lastModifiedBy>
  <cp:revision>33</cp:revision>
  <dcterms:created xsi:type="dcterms:W3CDTF">2018-06-01T10:27:00Z</dcterms:created>
  <dcterms:modified xsi:type="dcterms:W3CDTF">2018-08-23T11:16:00Z</dcterms:modified>
</cp:coreProperties>
</file>