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FCE7" w14:textId="370E21E9" w:rsidR="008261D2" w:rsidRDefault="008261D2"/>
    <w:p w14:paraId="409FE955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II - Petycja Odrębna </w:t>
      </w:r>
    </w:p>
    <w:p w14:paraId="51C72FBB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§2) </w:t>
      </w:r>
      <w:r>
        <w:rPr>
          <w:rFonts w:ascii="ArialMT" w:eastAsia="Times New Roman" w:hAnsi="ArialMT"/>
          <w:b/>
          <w:bCs/>
        </w:rPr>
        <w:t>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7EE835" w14:textId="77777777" w:rsidR="00A41F14" w:rsidRDefault="00A41F14" w:rsidP="00A41F14">
      <w:pPr>
        <w:rPr>
          <w:rFonts w:ascii="ArialMT" w:eastAsia="Times New Roman" w:hAnsi="ArialMT"/>
        </w:rPr>
      </w:pPr>
    </w:p>
    <w:p w14:paraId="5C9F19D6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* Zdaniem wnoszącego - niniejsze pismo należy go procedować dwutorowo - poniższą część w trybie ustawy o petycjach i powyższą część w trybie ustawy o dostępie do inf. publicznej. Dla zmniejszenia marnotrawstwa papieru i ograniczenia procedur biurokratycznych wniosek i petycję przesyłamy en-</w:t>
      </w:r>
      <w:proofErr w:type="spellStart"/>
      <w:r>
        <w:rPr>
          <w:rFonts w:ascii="ArialMT" w:eastAsia="Times New Roman" w:hAnsi="ArialMT"/>
        </w:rPr>
        <w:t>bloc</w:t>
      </w:r>
      <w:proofErr w:type="spellEnd"/>
      <w:r>
        <w:rPr>
          <w:rFonts w:ascii="ArialMT" w:eastAsia="Times New Roman" w:hAnsi="ArialMT"/>
        </w:rPr>
        <w:t xml:space="preserve"> - w jednym piśmie.  </w:t>
      </w:r>
    </w:p>
    <w:p w14:paraId="5EAF05C0" w14:textId="77777777" w:rsidR="00A41F14" w:rsidRDefault="00A41F14" w:rsidP="00A41F14">
      <w:pPr>
        <w:rPr>
          <w:rFonts w:ascii="ArialMT" w:eastAsia="Times New Roman" w:hAnsi="ArialMT"/>
        </w:rPr>
      </w:pPr>
    </w:p>
    <w:p w14:paraId="7B7C7CE0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*Nie jest to łączenie trybów - zatem prosimy kwalifikować niniejsze pisma jako dwa środki prawne - wniosek  i odrębną petycję   - </w:t>
      </w:r>
      <w:r>
        <w:rPr>
          <w:rFonts w:ascii="ArialMT" w:eastAsia="Times New Roman" w:hAnsi="ArialMT"/>
          <w:b/>
          <w:bCs/>
        </w:rPr>
        <w:t>vide -  piśmiennictwo: J. Borkowski (w:) B. Adamiak, J. Borkowski, Kodeks postępowania…, s. 668; por. także art. 12 ust. 1 komentowanej ustawy - materiał dostępny w sieci Internet.  </w:t>
      </w:r>
    </w:p>
    <w:p w14:paraId="71CF8D51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  <w:b/>
          <w:bCs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426D44A7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74EF879E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 </w:t>
      </w:r>
    </w:p>
    <w:p w14:paraId="2432A725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Oczywiście ABY NASZA PETYCJA NIE BYŁA W ŻADNYM RAZIE ŁĄCZONA z ewentualnym PÓŹNIEJSZYM trybem ewentualnego zamówienia. </w:t>
      </w:r>
    </w:p>
    <w:p w14:paraId="4642FBE6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>
        <w:rPr>
          <w:rFonts w:ascii="ArialMT" w:eastAsia="Times New Roman" w:hAnsi="ArialMT"/>
        </w:rPr>
        <w:t>inter</w:t>
      </w:r>
      <w:proofErr w:type="spellEnd"/>
      <w:r>
        <w:rPr>
          <w:rFonts w:ascii="ArialMT" w:eastAsia="Times New Roman" w:hAnsi="ArialMT"/>
        </w:rPr>
        <w:t xml:space="preserve"> </w:t>
      </w:r>
      <w:proofErr w:type="spellStart"/>
      <w:r>
        <w:rPr>
          <w:rFonts w:ascii="ArialMT" w:eastAsia="Times New Roman" w:hAnsi="ArialMT"/>
        </w:rPr>
        <w:t>alia</w:t>
      </w:r>
      <w:proofErr w:type="spellEnd"/>
      <w:r>
        <w:rPr>
          <w:rFonts w:ascii="ArialMT" w:eastAsia="Times New Roman" w:hAnsi="ArialMT"/>
        </w:rPr>
        <w:t xml:space="preserve"> z zaspokojeniem aktualnego stanu prawnego, bezpieczeństwem oraz racjonalnym i oszczędnym wydatkowaniem środków publicznych. </w:t>
      </w:r>
    </w:p>
    <w:p w14:paraId="12C68F02" w14:textId="77777777" w:rsidR="00A41F14" w:rsidRDefault="00A41F14" w:rsidP="00A41F14">
      <w:pPr>
        <w:rPr>
          <w:rFonts w:ascii="ArialMT" w:eastAsia="Times New Roman" w:hAnsi="ArialMT"/>
        </w:rPr>
      </w:pPr>
    </w:p>
    <w:p w14:paraId="6668FB25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 </w:t>
      </w:r>
    </w:p>
    <w:p w14:paraId="647795DA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5ABCBD1C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15AFD11D" w14:textId="77777777" w:rsidR="00A41F14" w:rsidRDefault="00A41F14" w:rsidP="00A41F14">
      <w:pPr>
        <w:rPr>
          <w:rFonts w:ascii="ArialMT" w:eastAsia="Times New Roman" w:hAnsi="ArialMT"/>
        </w:rPr>
      </w:pPr>
    </w:p>
    <w:p w14:paraId="14F5F544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Dodatkowe uzasadnienie społecznej wagi pisma i idee fixe: </w:t>
      </w:r>
    </w:p>
    <w:p w14:paraId="3ACF003B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  <w:b/>
          <w:bCs/>
        </w:rPr>
        <w:lastRenderedPageBreak/>
        <w:t xml:space="preserve">Korespondując z brzmieniem art. 3 ust. 1 pkt. 1 Ustawy o dostępie do informacji publicznej ( t.j. Dz. U. 2022 poz. 902) oraz art. 2 ust. 3 in fine Ustawy o Petycjach - zdaniem wnioskodawcy - dane te powinny być ad hoc dostępne w Urzędzie – i ich kompletacja  nie wymaga działań związanych z długotrwałym ich przetwarzaniem oraz  dane te   wydają się szczególnie istotne z punktu widzenia interesu publicznego pro </w:t>
      </w:r>
      <w:proofErr w:type="spellStart"/>
      <w:r>
        <w:rPr>
          <w:rFonts w:ascii="ArialMT" w:eastAsia="Times New Roman" w:hAnsi="ArialMT"/>
          <w:b/>
          <w:bCs/>
        </w:rPr>
        <w:t>publico</w:t>
      </w:r>
      <w:proofErr w:type="spellEnd"/>
      <w:r>
        <w:rPr>
          <w:rFonts w:ascii="ArialMT" w:eastAsia="Times New Roman" w:hAnsi="ArialMT"/>
          <w:b/>
          <w:bCs/>
        </w:rPr>
        <w:t xml:space="preserve"> bono  a sprawy związane z ułatwieniem procesu inwestycyjnego i zaspokojeniem praw </w:t>
      </w:r>
      <w:proofErr w:type="spellStart"/>
      <w:r>
        <w:rPr>
          <w:rFonts w:ascii="ArialMT" w:eastAsia="Times New Roman" w:hAnsi="ArialMT"/>
          <w:b/>
          <w:bCs/>
        </w:rPr>
        <w:t>Petentow</w:t>
      </w:r>
      <w:proofErr w:type="spellEnd"/>
      <w:r>
        <w:rPr>
          <w:rFonts w:ascii="ArialMT" w:eastAsia="Times New Roman" w:hAnsi="ArialMT"/>
          <w:b/>
          <w:bCs/>
        </w:rPr>
        <w:t>/Interesantów/Inwestorów to - w mniemaniu wnioskodawcy/</w:t>
      </w:r>
      <w:proofErr w:type="spellStart"/>
      <w:r>
        <w:rPr>
          <w:rFonts w:ascii="ArialMT" w:eastAsia="Times New Roman" w:hAnsi="ArialMT"/>
          <w:b/>
          <w:bCs/>
        </w:rPr>
        <w:t>petycjodawcy</w:t>
      </w:r>
      <w:proofErr w:type="spellEnd"/>
      <w:r>
        <w:rPr>
          <w:rFonts w:ascii="ArialMT" w:eastAsia="Times New Roman" w:hAnsi="ArialMT"/>
          <w:b/>
          <w:bCs/>
        </w:rPr>
        <w:t>* - wartości wymagające szczególnej ochrony w imię dobra wspólnego (…) - nawiązując osnowy powyższego wniosku. </w:t>
      </w:r>
    </w:p>
    <w:p w14:paraId="324898B3" w14:textId="77777777" w:rsidR="00A41F14" w:rsidRDefault="00A41F14" w:rsidP="00A41F14">
      <w:pPr>
        <w:rPr>
          <w:rFonts w:ascii="ArialMT" w:eastAsia="Times New Roman" w:hAnsi="ArialMT"/>
        </w:rPr>
      </w:pPr>
    </w:p>
    <w:p w14:paraId="2616C686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</w:t>
      </w:r>
      <w:hyperlink r:id="rId4" w:history="1">
        <w:r>
          <w:rPr>
            <w:rStyle w:val="Hipercze"/>
            <w:rFonts w:ascii="ArialMT" w:eastAsia="Times New Roman" w:hAnsi="ArialMT"/>
          </w:rPr>
          <w:t>mapy-interaktywne@samorzad.pl</w:t>
        </w:r>
      </w:hyperlink>
      <w:r>
        <w:rPr>
          <w:rFonts w:ascii="ArialMT" w:eastAsia="Times New Roman" w:hAnsi="ArialMT"/>
        </w:rPr>
        <w:t> </w:t>
      </w:r>
    </w:p>
    <w:p w14:paraId="52CABEB2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§4) Wnosimy o to, aby odpowiedź w  przedmiocie powyższych pytań i petycji złożonych na mocy art. 63 Konstytucji RP - w związku z art.  241 KPA, została udzielona - zwrotnie na adres poczty elektronicznej  </w:t>
      </w:r>
      <w:hyperlink r:id="rId5" w:history="1">
        <w:r>
          <w:rPr>
            <w:rStyle w:val="Hipercze"/>
            <w:rFonts w:ascii="ArialMT" w:eastAsia="Times New Roman" w:hAnsi="ArialMT"/>
          </w:rPr>
          <w:t>mapy-interaktywne@samorzad.pl</w:t>
        </w:r>
      </w:hyperlink>
      <w:r>
        <w:rPr>
          <w:rFonts w:ascii="ArialMT" w:eastAsia="Times New Roman" w:hAnsi="ArialMT"/>
        </w:rPr>
        <w:t> </w:t>
      </w:r>
    </w:p>
    <w:p w14:paraId="47029F76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§5)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4AAC41D1" w14:textId="77777777" w:rsidR="00A41F14" w:rsidRDefault="00A41F14" w:rsidP="00A41F14">
      <w:pPr>
        <w:rPr>
          <w:rFonts w:ascii="ArialMT" w:eastAsia="Times New Roman" w:hAnsi="ArialMT"/>
        </w:rPr>
      </w:pPr>
    </w:p>
    <w:p w14:paraId="4D65C17F" w14:textId="77777777" w:rsidR="00A41F14" w:rsidRDefault="00A41F14" w:rsidP="00A41F14">
      <w:pPr>
        <w:rPr>
          <w:rFonts w:ascii="ArialMT" w:eastAsia="Times New Roman" w:hAnsi="ArialMT"/>
        </w:rPr>
      </w:pPr>
    </w:p>
    <w:p w14:paraId="53BD056B" w14:textId="77777777" w:rsidR="00A41F14" w:rsidRDefault="00A41F14" w:rsidP="00A41F14">
      <w:pPr>
        <w:rPr>
          <w:rFonts w:ascii="ArialMT" w:eastAsia="Times New Roman" w:hAnsi="ArialMT"/>
        </w:rPr>
      </w:pPr>
      <w:proofErr w:type="spellStart"/>
      <w:r>
        <w:rPr>
          <w:rFonts w:ascii="ArialMT" w:eastAsia="Times New Roman" w:hAnsi="ArialMT"/>
        </w:rPr>
        <w:t>Współwnioskodawca</w:t>
      </w:r>
      <w:proofErr w:type="spellEnd"/>
      <w:r>
        <w:rPr>
          <w:rFonts w:ascii="ArialMT" w:eastAsia="Times New Roman" w:hAnsi="ArialMT"/>
        </w:rPr>
        <w:t>: </w:t>
      </w:r>
    </w:p>
    <w:p w14:paraId="1585C35F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Osoba Prawna</w:t>
      </w:r>
    </w:p>
    <w:p w14:paraId="47A4E3C3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Szulc-Efekt sp. z o. o.</w:t>
      </w:r>
    </w:p>
    <w:p w14:paraId="1BC277EC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Prezes Zarządu - Adam Szulc </w:t>
      </w:r>
    </w:p>
    <w:p w14:paraId="0E7F6889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ul. Poligonowa 1</w:t>
      </w:r>
    </w:p>
    <w:p w14:paraId="48DA1467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04-051 Warszawa</w:t>
      </w:r>
    </w:p>
    <w:p w14:paraId="714D9BF1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nr KRS: 0000059459</w:t>
      </w:r>
    </w:p>
    <w:p w14:paraId="4964554D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Kapitał Zakładowy: 222.000,00 </w:t>
      </w:r>
      <w:proofErr w:type="spellStart"/>
      <w:r>
        <w:rPr>
          <w:rFonts w:ascii="ArialMT" w:eastAsia="Times New Roman" w:hAnsi="ArialMT"/>
        </w:rPr>
        <w:t>pln</w:t>
      </w:r>
      <w:proofErr w:type="spellEnd"/>
      <w:r>
        <w:rPr>
          <w:rFonts w:ascii="ArialMT" w:eastAsia="Times New Roman" w:hAnsi="ArialMT"/>
        </w:rPr>
        <w:t> </w:t>
      </w:r>
    </w:p>
    <w:p w14:paraId="2929426A" w14:textId="77777777" w:rsidR="00A41F14" w:rsidRDefault="00A41F14" w:rsidP="00A41F14">
      <w:pPr>
        <w:rPr>
          <w:rFonts w:ascii="ArialMT" w:eastAsia="Times New Roman" w:hAnsi="ArialMT"/>
        </w:rPr>
      </w:pPr>
      <w:hyperlink r:id="rId6" w:history="1">
        <w:r>
          <w:rPr>
            <w:rStyle w:val="Hipercze"/>
            <w:rFonts w:ascii="ArialMT" w:eastAsia="Times New Roman" w:hAnsi="ArialMT"/>
          </w:rPr>
          <w:t>www.gmina.pl</w:t>
        </w:r>
      </w:hyperlink>
      <w:r>
        <w:rPr>
          <w:rFonts w:ascii="ArialMT" w:eastAsia="Times New Roman" w:hAnsi="ArialMT"/>
        </w:rPr>
        <w:t> </w:t>
      </w:r>
    </w:p>
    <w:p w14:paraId="2EE5B560" w14:textId="77777777" w:rsidR="00A41F14" w:rsidRDefault="00A41F14" w:rsidP="00A41F14">
      <w:pPr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Jawność i transparentność - to narzędzie do walki z korupcją i nadużyciami w Gminach„</w:t>
      </w:r>
    </w:p>
    <w:p w14:paraId="1F3CA1EA" w14:textId="77777777" w:rsidR="00A41F14" w:rsidRDefault="00A41F14"/>
    <w:sectPr w:rsidR="00A4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14"/>
    <w:rsid w:val="008261D2"/>
    <w:rsid w:val="00A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D1D7"/>
  <w15:chartTrackingRefBased/>
  <w15:docId w15:val="{1BB7594B-E64B-4070-9CA4-FA018E1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1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5" Type="http://schemas.openxmlformats.org/officeDocument/2006/relationships/hyperlink" Target="mailto:mapy-interaktywne@samorzad.pl" TargetMode="External"/><Relationship Id="rId4" Type="http://schemas.openxmlformats.org/officeDocument/2006/relationships/hyperlink" Target="mailto:mapy-interaktywne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Urbańska</dc:creator>
  <cp:keywords/>
  <dc:description/>
  <cp:lastModifiedBy>Marzena Urbańska</cp:lastModifiedBy>
  <cp:revision>1</cp:revision>
  <cp:lastPrinted>2022-10-24T12:43:00Z</cp:lastPrinted>
  <dcterms:created xsi:type="dcterms:W3CDTF">2022-10-24T12:41:00Z</dcterms:created>
  <dcterms:modified xsi:type="dcterms:W3CDTF">2022-10-24T12:43:00Z</dcterms:modified>
</cp:coreProperties>
</file>