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/>
      </w:tblPr>
      <w:tblGrid>
        <w:gridCol w:w="2296"/>
        <w:gridCol w:w="6622"/>
      </w:tblGrid>
      <w:tr w:rsidR="002664CF" w:rsidRPr="002664CF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:rsidTr="00A61C43">
        <w:trPr>
          <w:trHeight w:val="2492"/>
        </w:trPr>
        <w:tc>
          <w:tcPr>
            <w:tcW w:w="2296" w:type="dxa"/>
            <w:shd w:val="clear" w:color="auto" w:fill="D9D9D9" w:themeFill="background1" w:themeFillShade="D9"/>
          </w:tcPr>
          <w:p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A17115" w:rsidRPr="00B33501" w:rsidRDefault="0074277B" w:rsidP="00B3350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 Gminy Bralin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ul. Rynek 3, 63-640 Bralin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 xml:space="preserve">)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</w:p>
          <w:p w:rsidR="00B5749B" w:rsidRPr="00B33501" w:rsidRDefault="002A3270" w:rsidP="00B3350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74277B">
              <w:rPr>
                <w:rFonts w:ascii="Arial" w:hAnsi="Arial" w:cs="Arial"/>
                <w:sz w:val="18"/>
                <w:szCs w:val="18"/>
              </w:rPr>
              <w:t xml:space="preserve"> ul. </w:t>
            </w:r>
            <w:r w:rsidR="003E3F48">
              <w:rPr>
                <w:rFonts w:ascii="Arial" w:hAnsi="Arial" w:cs="Arial"/>
                <w:sz w:val="18"/>
                <w:szCs w:val="18"/>
              </w:rPr>
              <w:t>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7427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:rsidTr="00B33501">
        <w:trPr>
          <w:trHeight w:val="1314"/>
        </w:trPr>
        <w:tc>
          <w:tcPr>
            <w:tcW w:w="2296" w:type="dxa"/>
            <w:shd w:val="clear" w:color="auto" w:fill="D9D9D9" w:themeFill="background1" w:themeFillShade="D9"/>
          </w:tcPr>
          <w:p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74277B">
              <w:rPr>
                <w:rFonts w:ascii="Arial" w:hAnsi="Arial" w:cs="Arial"/>
                <w:sz w:val="18"/>
                <w:szCs w:val="18"/>
              </w:rPr>
              <w:t>Wójtem Gminy Bralin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74277B">
              <w:rPr>
                <w:rFonts w:ascii="Arial" w:hAnsi="Arial" w:cs="Arial"/>
                <w:sz w:val="18"/>
                <w:szCs w:val="18"/>
              </w:rPr>
              <w:t>na się skontaktować pisemnie na </w:t>
            </w:r>
            <w:r w:rsidRPr="002664CF">
              <w:rPr>
                <w:rFonts w:ascii="Arial" w:hAnsi="Arial" w:cs="Arial"/>
                <w:sz w:val="18"/>
                <w:szCs w:val="18"/>
              </w:rPr>
              <w:t>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70AE4" w:rsidRPr="002664CF" w:rsidRDefault="002A3270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A61C4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A61C43"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:rsidTr="005310CA">
        <w:tc>
          <w:tcPr>
            <w:tcW w:w="2296" w:type="dxa"/>
            <w:shd w:val="clear" w:color="auto" w:fill="D9D9D9" w:themeFill="background1" w:themeFillShade="D9"/>
          </w:tcPr>
          <w:p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74277B">
              <w:rPr>
                <w:rFonts w:ascii="Arial" w:hAnsi="Arial" w:cs="Arial"/>
                <w:sz w:val="18"/>
                <w:szCs w:val="18"/>
              </w:rPr>
              <w:t>Wójt Gminy Bralin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 w:rsidR="0074277B">
              <w:rPr>
                <w:rFonts w:ascii="Arial" w:hAnsi="Arial" w:cs="Arial"/>
                <w:sz w:val="18"/>
                <w:szCs w:val="18"/>
              </w:rPr>
              <w:t xml:space="preserve"> danych, z </w:t>
            </w:r>
            <w:r w:rsidR="00F656C7">
              <w:rPr>
                <w:rFonts w:ascii="Arial" w:hAnsi="Arial" w:cs="Arial"/>
                <w:sz w:val="18"/>
                <w:szCs w:val="18"/>
              </w:rPr>
              <w:t>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>Pan skontaktować poprzez</w:t>
            </w:r>
            <w:r w:rsidR="0074277B">
              <w:rPr>
                <w:rFonts w:ascii="Arial" w:hAnsi="Arial" w:cs="Arial"/>
                <w:sz w:val="18"/>
                <w:szCs w:val="18"/>
              </w:rPr>
              <w:t xml:space="preserve"> e-mail: </w:t>
            </w:r>
            <w:hyperlink r:id="rId9" w:history="1">
              <w:r w:rsidR="0074277B" w:rsidRPr="00531A2F">
                <w:rPr>
                  <w:rStyle w:val="Hipercze"/>
                  <w:rFonts w:ascii="Arial" w:hAnsi="Arial" w:cs="Arial"/>
                  <w:sz w:val="18"/>
                  <w:szCs w:val="18"/>
                </w:rPr>
                <w:t>kontakt@rodo-leszno.com.pl</w:t>
              </w:r>
            </w:hyperlink>
            <w:r w:rsidR="007427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D6F23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</w:t>
            </w:r>
            <w:r w:rsidR="00A61C43">
              <w:rPr>
                <w:rFonts w:ascii="Arial" w:hAnsi="Arial" w:cs="Arial"/>
                <w:sz w:val="18"/>
                <w:szCs w:val="18"/>
              </w:rPr>
              <w:t>ył inspektora ochrony danych, z </w:t>
            </w:r>
            <w:r w:rsidRPr="002664CF">
              <w:rPr>
                <w:rFonts w:ascii="Arial" w:hAnsi="Arial" w:cs="Arial"/>
                <w:sz w:val="18"/>
                <w:szCs w:val="18"/>
              </w:rPr>
              <w:t>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61C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B169F5">
              <w:rPr>
                <w:rFonts w:ascii="Arial" w:hAnsi="Arial" w:cs="Arial"/>
                <w:sz w:val="18"/>
                <w:szCs w:val="18"/>
                <w:u w:val="single"/>
              </w:rPr>
              <w:t>iod@mc.gov.pl</w:t>
            </w:r>
            <w:r w:rsidR="00A61C43">
              <w:rPr>
                <w:rFonts w:ascii="Arial" w:hAnsi="Arial" w:cs="Arial"/>
                <w:sz w:val="18"/>
                <w:szCs w:val="18"/>
              </w:rPr>
              <w:t xml:space="preserve"> lub 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pisemnie na adres siedziby administratora.</w:t>
            </w:r>
          </w:p>
          <w:p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</w:t>
            </w:r>
            <w:r w:rsidR="00A61C43">
              <w:rPr>
                <w:rFonts w:ascii="Arial" w:hAnsi="Arial" w:cs="Arial"/>
                <w:sz w:val="18"/>
                <w:szCs w:val="18"/>
              </w:rPr>
              <w:t>aniem danych, które pozostają w </w:t>
            </w:r>
            <w:r w:rsidRPr="002664CF">
              <w:rPr>
                <w:rFonts w:ascii="Arial" w:hAnsi="Arial" w:cs="Arial"/>
                <w:sz w:val="18"/>
                <w:szCs w:val="18"/>
              </w:rPr>
              <w:t>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:rsidTr="005310CA">
        <w:tc>
          <w:tcPr>
            <w:tcW w:w="2296" w:type="dxa"/>
            <w:shd w:val="clear" w:color="auto" w:fill="D9D9D9" w:themeFill="background1" w:themeFillShade="D9"/>
          </w:tcPr>
          <w:p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A61C43">
              <w:rPr>
                <w:rFonts w:ascii="Arial" w:hAnsi="Arial" w:cs="Arial"/>
                <w:sz w:val="18"/>
                <w:szCs w:val="18"/>
              </w:rPr>
              <w:t xml:space="preserve"> w 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44F06" w:rsidRPr="00B33501" w:rsidRDefault="004E06AA" w:rsidP="00B3350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Wójta Gminy Bralin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 - w celu wprowadzenia Pani/Pana danych do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rejestru 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23e ust. 2 pkt. 2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–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:rsidR="00474A4A" w:rsidRPr="00B33501" w:rsidRDefault="00CE4C32" w:rsidP="00A60EF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cofnięcia 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wydania zaświadczenia zawierającego historię zastrzeżeń numeru PESEL w rejestrze zastrzeżeń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- na podstawie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 xml:space="preserve">art. 23a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i 23k ust. 5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ustawy o ewidencji ludności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057A2" w:rsidRPr="003057A2" w:rsidRDefault="00A60EFE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</w:tc>
      </w:tr>
      <w:tr w:rsidR="002664CF" w:rsidRPr="002664CF" w:rsidTr="005310CA">
        <w:tc>
          <w:tcPr>
            <w:tcW w:w="2296" w:type="dxa"/>
            <w:shd w:val="clear" w:color="auto" w:fill="D9D9D9" w:themeFill="background1" w:themeFillShade="D9"/>
          </w:tcPr>
          <w:p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:rsidR="005310CA" w:rsidRDefault="005310CA" w:rsidP="00B33501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:rsidR="00F149FC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Dane udostępniane są do:</w:t>
            </w:r>
          </w:p>
          <w:p w:rsidR="00F149FC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- organów gminy, wojewodów, ministra właściwego do spraw wewnętrznych na </w:t>
            </w:r>
            <w:r w:rsidRPr="005310CA">
              <w:rPr>
                <w:rFonts w:ascii="Arial" w:hAnsi="Arial" w:cs="Arial"/>
                <w:sz w:val="18"/>
                <w:szCs w:val="18"/>
              </w:rPr>
              <w:lastRenderedPageBreak/>
              <w:t>podstawie art.  23b ust. 4 ustawy o ewidencji ludności;</w:t>
            </w:r>
          </w:p>
          <w:p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-oraz na podstawie art. 23 m ust. 1 ustawy o ewidencji ludności do:  </w:t>
            </w:r>
          </w:p>
          <w:p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1) podmiotów, o których mowa w art. 46 u</w:t>
            </w:r>
            <w:r w:rsidR="00A61C43">
              <w:rPr>
                <w:rFonts w:ascii="Arial" w:hAnsi="Arial" w:cs="Arial"/>
                <w:sz w:val="18"/>
                <w:szCs w:val="18"/>
              </w:rPr>
              <w:t>st. 1, w zakresie niezbędnym do </w:t>
            </w:r>
            <w:r w:rsidRPr="005310CA">
              <w:rPr>
                <w:rFonts w:ascii="Arial" w:hAnsi="Arial" w:cs="Arial"/>
                <w:sz w:val="18"/>
                <w:szCs w:val="18"/>
              </w:rPr>
              <w:t>realizacji ustawowych zadań;</w:t>
            </w:r>
          </w:p>
          <w:p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2) podmiotów, o których mowa w art. 46 ust. 2 pkt 1, po wykazaniu interesu faktycznego;</w:t>
            </w:r>
          </w:p>
          <w:p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podmiotów, o których mowa w art. 4 ust. 1 pkt 1, 17, 18 i 20 ustawy z dnia 29 sierpnia 1997 r. - Prawo bankowe, oraz instytucji utworzonej na podstawie </w:t>
            </w:r>
            <w:r w:rsidR="00741A57">
              <w:rPr>
                <w:rFonts w:ascii="Arial" w:hAnsi="Arial" w:cs="Arial"/>
                <w:sz w:val="18"/>
                <w:szCs w:val="18"/>
              </w:rPr>
              <w:br/>
            </w:r>
            <w:r w:rsidRPr="005310CA">
              <w:rPr>
                <w:rFonts w:ascii="Arial" w:hAnsi="Arial" w:cs="Arial"/>
                <w:sz w:val="18"/>
                <w:szCs w:val="18"/>
              </w:rPr>
              <w:t>art. 105 ust. 4 tej ustawy;</w:t>
            </w:r>
          </w:p>
          <w:p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4) notariuszy;</w:t>
            </w:r>
          </w:p>
          <w:p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5) dostawców publicznie dostępnych usług telekomunikacyjnych;</w:t>
            </w:r>
          </w:p>
          <w:p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6) spółdzielczych kas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7) kredytodawców w rozumieniu art. 5 pkt 2 </w:t>
            </w:r>
            <w:r w:rsidR="00A61C43">
              <w:rPr>
                <w:rFonts w:ascii="Arial" w:hAnsi="Arial" w:cs="Arial"/>
                <w:sz w:val="18"/>
                <w:szCs w:val="18"/>
              </w:rPr>
              <w:t>ustawy z dnia 12 maja 2011 r. o </w:t>
            </w:r>
            <w:r w:rsidRPr="005310CA">
              <w:rPr>
                <w:rFonts w:ascii="Arial" w:hAnsi="Arial" w:cs="Arial"/>
                <w:sz w:val="18"/>
                <w:szCs w:val="18"/>
              </w:rPr>
              <w:t>kredycie konsumenckim;</w:t>
            </w:r>
          </w:p>
          <w:p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8) dostawców, o których mowa w art. 4 ust. 2 pk</w:t>
            </w:r>
            <w:r w:rsidR="00A61C43">
              <w:rPr>
                <w:rFonts w:ascii="Arial" w:hAnsi="Arial" w:cs="Arial"/>
                <w:sz w:val="18"/>
                <w:szCs w:val="18"/>
              </w:rPr>
              <w:t>t 4, 6, 9 i 11 ustawy z dnia 19 </w:t>
            </w:r>
            <w:r w:rsidRPr="005310CA">
              <w:rPr>
                <w:rFonts w:ascii="Arial" w:hAnsi="Arial" w:cs="Arial"/>
                <w:sz w:val="18"/>
                <w:szCs w:val="18"/>
              </w:rPr>
              <w:t>sierpnia 2011 r. o usługach płatniczych (Dz.U. z 2022 r. poz. 2360 i 2640);</w:t>
            </w:r>
          </w:p>
          <w:p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 informacji gospodarczej, o któryc</w:t>
            </w:r>
            <w:r w:rsidR="00A61C43">
              <w:rPr>
                <w:rFonts w:ascii="Arial" w:hAnsi="Arial" w:cs="Arial"/>
                <w:sz w:val="18"/>
                <w:szCs w:val="18"/>
              </w:rPr>
              <w:t>h mowa w art. 5 ustawy z dnia 9 </w:t>
            </w:r>
            <w:r w:rsidRPr="005310CA">
              <w:rPr>
                <w:rFonts w:ascii="Arial" w:hAnsi="Arial" w:cs="Arial"/>
                <w:sz w:val="18"/>
                <w:szCs w:val="18"/>
              </w:rPr>
              <w:t>kwietnia 2010 r. o udostępnianiu informacji gospodarczych i wymianie danych gospodarczych (Dz.U. z 2023 r. poz. 528 i 1394)</w:t>
            </w:r>
          </w:p>
        </w:tc>
      </w:tr>
      <w:tr w:rsidR="00B169F5" w:rsidRPr="002664CF" w:rsidTr="005310CA">
        <w:tc>
          <w:tcPr>
            <w:tcW w:w="2296" w:type="dxa"/>
            <w:shd w:val="clear" w:color="auto" w:fill="D9D9D9" w:themeFill="background1" w:themeFillShade="D9"/>
          </w:tcPr>
          <w:p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KATEGORIE DANYCH</w:t>
            </w:r>
          </w:p>
        </w:tc>
        <w:tc>
          <w:tcPr>
            <w:tcW w:w="6622" w:type="dxa"/>
          </w:tcPr>
          <w:p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Imię, nazwisko, numer PESEL, uzasadnienie złożenia wniosku</w:t>
            </w:r>
          </w:p>
          <w:p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Danych zgromadzonych w rejestrze zastrzeżeń numerów PESEL nie usuwa się.</w:t>
            </w:r>
          </w:p>
          <w:p w:rsidR="00550BA0" w:rsidRPr="002664CF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Zapisy w dziennikach systemów (logach) </w:t>
            </w:r>
            <w:r w:rsidR="00A61C43">
              <w:rPr>
                <w:rFonts w:ascii="Arial" w:hAnsi="Arial" w:cs="Arial"/>
                <w:sz w:val="18"/>
                <w:szCs w:val="18"/>
              </w:rPr>
              <w:t>przechowywane są przez 6 lat od </w:t>
            </w:r>
            <w:r w:rsidRPr="005310CA">
              <w:rPr>
                <w:rFonts w:ascii="Arial" w:hAnsi="Arial" w:cs="Arial"/>
                <w:sz w:val="18"/>
                <w:szCs w:val="18"/>
              </w:rPr>
              <w:t>ostatniego dnia roku kalendarzowego, w którym powstał zapis.</w:t>
            </w:r>
          </w:p>
        </w:tc>
      </w:tr>
      <w:tr w:rsidR="002664CF" w:rsidRPr="002664CF" w:rsidTr="005310CA">
        <w:tc>
          <w:tcPr>
            <w:tcW w:w="2296" w:type="dxa"/>
            <w:shd w:val="clear" w:color="auto" w:fill="D9D9D9" w:themeFill="background1" w:themeFillShade="D9"/>
          </w:tcPr>
          <w:p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:rsidR="002A3270" w:rsidRPr="002664CF" w:rsidRDefault="005310CA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</w:tc>
      </w:tr>
      <w:tr w:rsidR="002664CF" w:rsidRPr="002664CF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4E0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:rsidTr="005310CA">
        <w:tc>
          <w:tcPr>
            <w:tcW w:w="2296" w:type="dxa"/>
            <w:shd w:val="clear" w:color="auto" w:fill="D9D9D9" w:themeFill="background1" w:themeFillShade="D9"/>
          </w:tcPr>
          <w:p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-Pani/Pana wniosek</w:t>
            </w:r>
          </w:p>
          <w:p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</w:tc>
      </w:tr>
    </w:tbl>
    <w:p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A2" w:rsidRDefault="009339A2" w:rsidP="00BB79F9">
      <w:pPr>
        <w:spacing w:after="0" w:line="240" w:lineRule="auto"/>
      </w:pPr>
      <w:r>
        <w:separator/>
      </w:r>
    </w:p>
  </w:endnote>
  <w:endnote w:type="continuationSeparator" w:id="0">
    <w:p w:rsidR="009339A2" w:rsidRDefault="009339A2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A2" w:rsidRDefault="009339A2" w:rsidP="00BB79F9">
      <w:pPr>
        <w:spacing w:after="0" w:line="240" w:lineRule="auto"/>
      </w:pPr>
      <w:r>
        <w:separator/>
      </w:r>
    </w:p>
  </w:footnote>
  <w:footnote w:type="continuationSeparator" w:id="0">
    <w:p w:rsidR="009339A2" w:rsidRDefault="009339A2" w:rsidP="00BB79F9">
      <w:pPr>
        <w:spacing w:after="0" w:line="240" w:lineRule="auto"/>
      </w:pPr>
      <w:r>
        <w:continuationSeparator/>
      </w:r>
    </w:p>
  </w:footnote>
  <w:footnote w:id="1">
    <w:p w:rsidR="00B169F5" w:rsidRDefault="00B169F5">
      <w:pPr>
        <w:pStyle w:val="Tekstprzypisudolnego"/>
      </w:pPr>
      <w:r>
        <w:rPr>
          <w:rStyle w:val="Odwoanieprzypisudolnego"/>
        </w:rPr>
        <w:footnoteRef/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10"/>
  </w:num>
  <w:num w:numId="9">
    <w:abstractNumId w:val="15"/>
  </w:num>
  <w:num w:numId="10">
    <w:abstractNumId w:val="17"/>
  </w:num>
  <w:num w:numId="11">
    <w:abstractNumId w:val="19"/>
  </w:num>
  <w:num w:numId="12">
    <w:abstractNumId w:val="0"/>
  </w:num>
  <w:num w:numId="13">
    <w:abstractNumId w:val="11"/>
  </w:num>
  <w:num w:numId="14">
    <w:abstractNumId w:val="18"/>
  </w:num>
  <w:num w:numId="15">
    <w:abstractNumId w:val="1"/>
  </w:num>
  <w:num w:numId="16">
    <w:abstractNumId w:val="13"/>
  </w:num>
  <w:num w:numId="17">
    <w:abstractNumId w:val="3"/>
  </w:num>
  <w:num w:numId="18">
    <w:abstractNumId w:val="14"/>
  </w:num>
  <w:num w:numId="19">
    <w:abstractNumId w:val="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E06AA"/>
    <w:rsid w:val="004F05AB"/>
    <w:rsid w:val="004F3C68"/>
    <w:rsid w:val="00510971"/>
    <w:rsid w:val="005205DB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4277B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39A2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7C08"/>
    <w:rsid w:val="00A60238"/>
    <w:rsid w:val="00A60EFE"/>
    <w:rsid w:val="00A61C43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169F5"/>
    <w:rsid w:val="00B20F27"/>
    <w:rsid w:val="00B33501"/>
    <w:rsid w:val="00B42B5D"/>
    <w:rsid w:val="00B5749B"/>
    <w:rsid w:val="00B6198A"/>
    <w:rsid w:val="00B63EB6"/>
    <w:rsid w:val="00B66321"/>
    <w:rsid w:val="00B70EEA"/>
    <w:rsid w:val="00B74918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4446"/>
    <w:rsid w:val="00D4462E"/>
    <w:rsid w:val="00D532AF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24A96"/>
    <w:rsid w:val="00F24D5E"/>
    <w:rsid w:val="00F24EFE"/>
    <w:rsid w:val="00F46422"/>
    <w:rsid w:val="00F57B57"/>
    <w:rsid w:val="00F63D61"/>
    <w:rsid w:val="00F656C7"/>
    <w:rsid w:val="00F710FC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takt@rodo-leszn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A1001-7F43-41C0-84BD-CE9F2930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Zalesińska</dc:creator>
  <cp:lastModifiedBy>Wioleta Zalesińska</cp:lastModifiedBy>
  <cp:revision>6</cp:revision>
  <cp:lastPrinted>2019-03-13T11:18:00Z</cp:lastPrinted>
  <dcterms:created xsi:type="dcterms:W3CDTF">2023-11-16T13:52:00Z</dcterms:created>
  <dcterms:modified xsi:type="dcterms:W3CDTF">2023-11-20T14:09:00Z</dcterms:modified>
</cp:coreProperties>
</file>